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17BCD" w14:textId="0A9E36A7" w:rsidR="00794380" w:rsidRPr="00C7163F" w:rsidRDefault="00500305" w:rsidP="00C7163F">
      <w:pPr>
        <w:pStyle w:val="P-SolveSubTitle"/>
        <w:spacing w:before="0"/>
        <w:rPr>
          <w:rFonts w:ascii="Schroders Circular TT" w:hAnsi="Schroders Circular TT"/>
          <w:color w:val="002060"/>
          <w:sz w:val="42"/>
        </w:rPr>
      </w:pPr>
      <w:r w:rsidRPr="00C7163F">
        <w:rPr>
          <w:rFonts w:ascii="Schroders Circular TT" w:hAnsi="Schroders Circular TT"/>
          <w:color w:val="002060"/>
          <w:sz w:val="42"/>
        </w:rPr>
        <w:t>Bibby Line Group Pension Scheme</w:t>
      </w:r>
    </w:p>
    <w:p w14:paraId="0F71C2C2" w14:textId="6B44667F" w:rsidR="005A36C4" w:rsidRPr="001C5D49" w:rsidRDefault="00D002AE" w:rsidP="003B46D1">
      <w:pPr>
        <w:pStyle w:val="P-SolveSubTitle"/>
        <w:spacing w:before="160"/>
        <w:rPr>
          <w:rFonts w:ascii="Schroders Circular TT" w:hAnsi="Schroders Circular TT" w:cs="Schroders Circular TT"/>
          <w:color w:val="002060"/>
        </w:rPr>
      </w:pPr>
      <w:bookmarkStart w:id="0" w:name="_GoBack"/>
      <w:bookmarkEnd w:id="0"/>
      <w:r>
        <w:rPr>
          <w:rFonts w:ascii="Schroders Circular TT" w:hAnsi="Schroders Circular TT" w:cs="Schroders Circular TT"/>
          <w:color w:val="002060"/>
        </w:rPr>
        <w:t>October 2025</w:t>
      </w:r>
    </w:p>
    <w:p w14:paraId="1A494427" w14:textId="77777777" w:rsidR="003E6563" w:rsidRPr="00C7163F" w:rsidRDefault="00794380" w:rsidP="005A36C4">
      <w:pPr>
        <w:pStyle w:val="P-SolveHeading1"/>
        <w:rPr>
          <w:rFonts w:ascii="Schroders Circular TT" w:hAnsi="Schroders Circular TT"/>
          <w:color w:val="0070C0"/>
        </w:rPr>
        <w:sectPr w:rsidR="003E6563" w:rsidRPr="00C7163F" w:rsidSect="00233F94">
          <w:headerReference w:type="even" r:id="rId8"/>
          <w:headerReference w:type="default" r:id="rId9"/>
          <w:footerReference w:type="even" r:id="rId10"/>
          <w:footerReference w:type="default" r:id="rId11"/>
          <w:headerReference w:type="first" r:id="rId12"/>
          <w:footerReference w:type="first" r:id="rId13"/>
          <w:pgSz w:w="11906" w:h="16838"/>
          <w:pgMar w:top="391" w:right="851" w:bottom="567" w:left="851" w:header="709" w:footer="709" w:gutter="0"/>
          <w:cols w:space="708"/>
          <w:titlePg/>
          <w:docGrid w:linePitch="360"/>
        </w:sectPr>
      </w:pPr>
      <w:r w:rsidRPr="00C7163F">
        <w:rPr>
          <w:rFonts w:ascii="Schroders Circular TT" w:hAnsi="Schroders Circular TT"/>
          <w:color w:val="0070C0"/>
        </w:rPr>
        <w:t>Statement of Investment Principles</w:t>
      </w:r>
    </w:p>
    <w:p w14:paraId="07C83E13" w14:textId="77777777" w:rsidR="00794380" w:rsidRPr="00C7163F" w:rsidRDefault="00794380" w:rsidP="00794380">
      <w:pPr>
        <w:pStyle w:val="P-SolveHeading2"/>
        <w:spacing w:before="200"/>
        <w:rPr>
          <w:rFonts w:ascii="Schroders Circular TT" w:hAnsi="Schroders Circular TT"/>
          <w:color w:val="0070C0"/>
          <w:sz w:val="28"/>
        </w:rPr>
      </w:pPr>
      <w:bookmarkStart w:id="1" w:name="_Toc457226091"/>
      <w:r w:rsidRPr="00C7163F">
        <w:rPr>
          <w:rFonts w:ascii="Schroders Circular TT" w:hAnsi="Schroders Circular TT"/>
          <w:color w:val="0070C0"/>
          <w:sz w:val="28"/>
        </w:rPr>
        <w:t>Introduction</w:t>
      </w:r>
      <w:bookmarkEnd w:id="1"/>
    </w:p>
    <w:p w14:paraId="28021155" w14:textId="3FAF2553"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This document constitutes the Statement of Investment Principles (‘the SIP’) required under Section 35 of the Pensions Act 1995</w:t>
      </w:r>
      <w:r w:rsidR="00606C26" w:rsidRPr="00C7163F">
        <w:rPr>
          <w:rStyle w:val="P-SStyleCondensedby02pt"/>
          <w:rFonts w:ascii="Noto Sans" w:hAnsi="Noto Sans"/>
          <w:spacing w:val="0"/>
        </w:rPr>
        <w:t xml:space="preserve"> (as amended)</w:t>
      </w:r>
      <w:r w:rsidRPr="00C7163F">
        <w:rPr>
          <w:rStyle w:val="P-SStyleCondensedby02pt"/>
          <w:rFonts w:ascii="Noto Sans" w:hAnsi="Noto Sans"/>
          <w:spacing w:val="0"/>
        </w:rPr>
        <w:t xml:space="preserve"> for the </w:t>
      </w:r>
      <w:r w:rsidR="00500305" w:rsidRPr="00C7163F">
        <w:rPr>
          <w:rStyle w:val="P-SStyleCondensedby02pt"/>
          <w:rFonts w:ascii="Noto Sans" w:hAnsi="Noto Sans"/>
          <w:spacing w:val="0"/>
        </w:rPr>
        <w:t>Bibby Line Group Pension Scheme</w:t>
      </w:r>
      <w:r w:rsidR="00E808DC" w:rsidRPr="00C7163F">
        <w:rPr>
          <w:rStyle w:val="P-SStyleCondensedby02pt"/>
          <w:rFonts w:ascii="Noto Sans" w:hAnsi="Noto Sans"/>
          <w:spacing w:val="0"/>
        </w:rPr>
        <w:t xml:space="preserve"> </w:t>
      </w:r>
      <w:r w:rsidRPr="00C7163F">
        <w:rPr>
          <w:rStyle w:val="P-SStyleCondensedby02pt"/>
          <w:rFonts w:ascii="Noto Sans" w:hAnsi="Noto Sans"/>
          <w:spacing w:val="0"/>
        </w:rPr>
        <w:t xml:space="preserve">(‘the </w:t>
      </w:r>
      <w:r w:rsidR="00314E54" w:rsidRPr="00473DAC">
        <w:rPr>
          <w:rStyle w:val="P-SStyleCondensedby02pt"/>
          <w:rFonts w:ascii="Noto Sans" w:hAnsi="Noto Sans" w:cs="Noto Sans"/>
          <w:spacing w:val="0"/>
        </w:rPr>
        <w:t>Scheme</w:t>
      </w:r>
      <w:r w:rsidRPr="00C7163F">
        <w:rPr>
          <w:rStyle w:val="P-SStyleCondensedby02pt"/>
          <w:rFonts w:ascii="Noto Sans" w:hAnsi="Noto Sans"/>
          <w:spacing w:val="0"/>
        </w:rPr>
        <w:t xml:space="preserve">). It describes the investment policy being pursued by the </w:t>
      </w:r>
      <w:r w:rsidRPr="00473DAC">
        <w:rPr>
          <w:rStyle w:val="P-SStyleCondensedby02pt"/>
          <w:rFonts w:ascii="Noto Sans" w:hAnsi="Noto Sans" w:cs="Noto Sans"/>
          <w:spacing w:val="0"/>
        </w:rPr>
        <w:t>Trustee</w:t>
      </w:r>
      <w:r w:rsidRPr="00C7163F">
        <w:rPr>
          <w:rStyle w:val="P-SStyleCondensedby02pt"/>
          <w:rFonts w:ascii="Noto Sans" w:hAnsi="Noto Sans"/>
          <w:spacing w:val="0"/>
        </w:rPr>
        <w:t xml:space="preserve"> of the </w:t>
      </w:r>
      <w:r w:rsidR="00314E54" w:rsidRPr="00C7163F">
        <w:rPr>
          <w:rStyle w:val="P-SStyleCondensedby02pt"/>
          <w:rFonts w:ascii="Noto Sans" w:hAnsi="Noto Sans"/>
          <w:spacing w:val="0"/>
        </w:rPr>
        <w:t xml:space="preserve">Scheme </w:t>
      </w:r>
      <w:r w:rsidRPr="00C7163F">
        <w:rPr>
          <w:rStyle w:val="P-SStyleCondensedby02pt"/>
          <w:rFonts w:ascii="Noto Sans" w:hAnsi="Noto Sans"/>
          <w:spacing w:val="0"/>
        </w:rPr>
        <w:t>and is in compliance with the Government’s voluntary code of conduct for Institutional Investment in the UK (’the Myners Principles’)</w:t>
      </w:r>
      <w:r w:rsidR="00484260" w:rsidRPr="00C7163F">
        <w:rPr>
          <w:rStyle w:val="P-SStyleCondensedby02pt"/>
          <w:rFonts w:ascii="Noto Sans" w:hAnsi="Noto Sans"/>
          <w:spacing w:val="0"/>
        </w:rPr>
        <w:t xml:space="preserve"> </w:t>
      </w:r>
      <w:r w:rsidR="007377B0" w:rsidRPr="00C7163F">
        <w:rPr>
          <w:rStyle w:val="P-SStyleCondensedby02pt"/>
          <w:rFonts w:ascii="Noto Sans" w:hAnsi="Noto Sans"/>
          <w:spacing w:val="0"/>
        </w:rPr>
        <w:t xml:space="preserve">and TPR’s </w:t>
      </w:r>
      <w:r w:rsidR="00B377CF" w:rsidRPr="00C7163F">
        <w:rPr>
          <w:rStyle w:val="P-SStyleCondensedby02pt"/>
          <w:rFonts w:ascii="Noto Sans" w:hAnsi="Noto Sans"/>
          <w:spacing w:val="0"/>
        </w:rPr>
        <w:t>Investment</w:t>
      </w:r>
      <w:r w:rsidR="007377B0" w:rsidRPr="00C7163F">
        <w:rPr>
          <w:rStyle w:val="P-SStyleCondensedby02pt"/>
          <w:rFonts w:ascii="Noto Sans" w:hAnsi="Noto Sans"/>
          <w:spacing w:val="0"/>
        </w:rPr>
        <w:t xml:space="preserve"> Guidance for defined benefit pension schemes.</w:t>
      </w:r>
      <w:r w:rsidRPr="00C7163F">
        <w:rPr>
          <w:rStyle w:val="P-SStyleCondensedby02pt"/>
          <w:rFonts w:ascii="Noto Sans" w:hAnsi="Noto Sans"/>
          <w:spacing w:val="0"/>
        </w:rPr>
        <w:t xml:space="preserve">  This SIP also reflects the requirements of </w:t>
      </w:r>
      <w:r w:rsidR="00484260" w:rsidRPr="00C7163F">
        <w:rPr>
          <w:rStyle w:val="P-SStyleCondensedby02pt"/>
          <w:rFonts w:ascii="Noto Sans" w:hAnsi="Noto Sans"/>
          <w:spacing w:val="0"/>
        </w:rPr>
        <w:t>Occupational Pension Schemes (Investment and Disclosure)</w:t>
      </w:r>
      <w:r w:rsidR="00D002AE">
        <w:rPr>
          <w:rStyle w:val="P-SStyleCondensedby02pt"/>
          <w:rFonts w:ascii="Noto Sans" w:hAnsi="Noto Sans"/>
          <w:spacing w:val="0"/>
        </w:rPr>
        <w:t xml:space="preserve"> </w:t>
      </w:r>
      <w:r w:rsidR="00484260" w:rsidRPr="00C7163F">
        <w:rPr>
          <w:rStyle w:val="P-SStyleCondensedby02pt"/>
          <w:rFonts w:ascii="Noto Sans" w:hAnsi="Noto Sans"/>
          <w:spacing w:val="0"/>
        </w:rPr>
        <w:t>(Amendment and Modification) Regulations 2018</w:t>
      </w:r>
      <w:r w:rsidRPr="00C7163F">
        <w:rPr>
          <w:rStyle w:val="P-SStyleCondensedby02pt"/>
          <w:rFonts w:ascii="Noto Sans" w:hAnsi="Noto Sans"/>
          <w:spacing w:val="0"/>
        </w:rPr>
        <w:t>.</w:t>
      </w:r>
    </w:p>
    <w:p w14:paraId="5A8BCD90" w14:textId="3A1CF85E"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Scheme Actuary is </w:t>
      </w:r>
      <w:r w:rsidR="00D002AE">
        <w:rPr>
          <w:rStyle w:val="P-SStyleCondensedby02pt"/>
          <w:rFonts w:ascii="Noto Sans" w:hAnsi="Noto Sans" w:cs="Noto Sans"/>
          <w:spacing w:val="0"/>
        </w:rPr>
        <w:t>Keir O’Donnell</w:t>
      </w:r>
      <w:r w:rsidRPr="00C7163F">
        <w:rPr>
          <w:rStyle w:val="P-SStyleCondensedby02pt"/>
          <w:rFonts w:ascii="Noto Sans" w:hAnsi="Noto Sans"/>
          <w:spacing w:val="0"/>
        </w:rPr>
        <w:t xml:space="preserve"> of </w:t>
      </w:r>
      <w:r w:rsidR="00896B8A">
        <w:rPr>
          <w:rStyle w:val="P-SStyleCondensedby02pt"/>
          <w:rFonts w:ascii="Noto Sans" w:hAnsi="Noto Sans" w:cs="Noto Sans"/>
          <w:spacing w:val="0"/>
        </w:rPr>
        <w:t>Cartwright</w:t>
      </w:r>
      <w:r w:rsidR="008F59A0" w:rsidRPr="00C7163F">
        <w:rPr>
          <w:rStyle w:val="P-SStyleCondensedby02pt"/>
          <w:rFonts w:ascii="Noto Sans" w:hAnsi="Noto Sans"/>
          <w:spacing w:val="0"/>
        </w:rPr>
        <w:t xml:space="preserve"> Group Limited</w:t>
      </w:r>
      <w:r w:rsidR="00CA0D9B" w:rsidRPr="00C7163F">
        <w:rPr>
          <w:rStyle w:val="P-SStyleCondensedby02pt"/>
          <w:rFonts w:ascii="Noto Sans" w:hAnsi="Noto Sans"/>
          <w:spacing w:val="0"/>
        </w:rPr>
        <w:t>,</w:t>
      </w:r>
      <w:r w:rsidRPr="00C7163F">
        <w:rPr>
          <w:rStyle w:val="P-SStyleCondensedby02pt"/>
          <w:rFonts w:ascii="Noto Sans" w:hAnsi="Noto Sans"/>
          <w:spacing w:val="0"/>
        </w:rPr>
        <w:t xml:space="preserve"> the Investment Adviser is </w:t>
      </w:r>
      <w:r w:rsidR="004D22C7">
        <w:rPr>
          <w:rStyle w:val="P-SStyleCondensedby02pt"/>
          <w:rFonts w:ascii="Noto Sans" w:hAnsi="Noto Sans" w:cs="Noto Sans"/>
          <w:spacing w:val="0"/>
        </w:rPr>
        <w:t>Schroders</w:t>
      </w:r>
      <w:r w:rsidRPr="00C7163F">
        <w:rPr>
          <w:rStyle w:val="P-SStyleCondensedby02pt"/>
          <w:rFonts w:ascii="Noto Sans" w:hAnsi="Noto Sans"/>
          <w:spacing w:val="0"/>
        </w:rPr>
        <w:t xml:space="preserve"> </w:t>
      </w:r>
      <w:r w:rsidR="00CA0D9B" w:rsidRPr="00C7163F">
        <w:rPr>
          <w:rStyle w:val="P-SStyleCondensedby02pt"/>
          <w:rFonts w:ascii="Noto Sans" w:hAnsi="Noto Sans"/>
          <w:spacing w:val="0"/>
        </w:rPr>
        <w:t>Solutions</w:t>
      </w:r>
      <w:r w:rsidRPr="00C7163F">
        <w:rPr>
          <w:rStyle w:val="P-SStyleCondensedby02pt"/>
          <w:rFonts w:ascii="Noto Sans" w:hAnsi="Noto Sans"/>
          <w:spacing w:val="0"/>
        </w:rPr>
        <w:t xml:space="preserve"> (collectively termed ‘the Advisers’). </w:t>
      </w:r>
    </w:p>
    <w:p w14:paraId="4059FCBB" w14:textId="043FDB69"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The Trustee confirm</w:t>
      </w:r>
      <w:r w:rsidR="00484260" w:rsidRPr="00C7163F">
        <w:rPr>
          <w:rStyle w:val="P-SStyleCondensedby02pt"/>
          <w:rFonts w:ascii="Noto Sans" w:hAnsi="Noto Sans"/>
          <w:spacing w:val="0"/>
        </w:rPr>
        <w:t>s</w:t>
      </w:r>
      <w:r w:rsidRPr="00C7163F">
        <w:rPr>
          <w:rStyle w:val="P-SStyleCondensedby02pt"/>
          <w:rFonts w:ascii="Noto Sans" w:hAnsi="Noto Sans"/>
          <w:spacing w:val="0"/>
        </w:rPr>
        <w:t xml:space="preserve"> that, before preparing this SIP, they have consulted with </w:t>
      </w:r>
      <w:r w:rsidR="008F59A0" w:rsidRPr="00C7163F">
        <w:rPr>
          <w:rStyle w:val="P-SStyleCondensedby02pt"/>
          <w:rFonts w:ascii="Noto Sans" w:hAnsi="Noto Sans"/>
          <w:spacing w:val="0"/>
        </w:rPr>
        <w:t>Bibby Line Group</w:t>
      </w:r>
      <w:r w:rsidRPr="00C7163F">
        <w:rPr>
          <w:rStyle w:val="P-SStyleCondensedby02pt"/>
          <w:rFonts w:ascii="Noto Sans" w:hAnsi="Noto Sans"/>
          <w:spacing w:val="0"/>
        </w:rPr>
        <w:t xml:space="preserve"> ('the Sponsoring Employer') and the Scheme Actuary and have obtained and considered written advice from the Investment Adviser.  </w:t>
      </w:r>
    </w:p>
    <w:p w14:paraId="57416F98" w14:textId="7E3E42E6"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w:t>
      </w:r>
      <w:r w:rsidR="008F59A0" w:rsidRPr="00C7163F">
        <w:rPr>
          <w:rStyle w:val="P-SStyleCondensedby02pt"/>
          <w:rFonts w:ascii="Noto Sans" w:hAnsi="Noto Sans"/>
          <w:spacing w:val="0"/>
        </w:rPr>
        <w:t>is</w:t>
      </w:r>
      <w:r w:rsidRPr="00C7163F">
        <w:rPr>
          <w:rStyle w:val="P-SStyleCondensedby02pt"/>
          <w:rFonts w:ascii="Noto Sans" w:hAnsi="Noto Sans"/>
          <w:spacing w:val="0"/>
        </w:rPr>
        <w:t xml:space="preserve"> responsible for the investment of the </w:t>
      </w:r>
      <w:r w:rsidR="00314E54" w:rsidRPr="00C7163F">
        <w:rPr>
          <w:rStyle w:val="P-SStyleCondensedby02pt"/>
          <w:rFonts w:ascii="Noto Sans" w:hAnsi="Noto Sans"/>
          <w:spacing w:val="0"/>
        </w:rPr>
        <w:t>Scheme</w:t>
      </w:r>
      <w:r w:rsidRPr="00C7163F">
        <w:rPr>
          <w:rStyle w:val="P-SStyleCondensedby02pt"/>
          <w:rFonts w:ascii="Noto Sans" w:hAnsi="Noto Sans"/>
          <w:spacing w:val="0"/>
        </w:rPr>
        <w:t>’s assets and where they are required to make an investment decision, the Trustee always receive advice from the relevant Advisers first</w:t>
      </w:r>
      <w:r w:rsidR="00947EAB" w:rsidRPr="00C7163F">
        <w:rPr>
          <w:rStyle w:val="P-SStyleCondensedby02pt"/>
          <w:rFonts w:ascii="Noto Sans" w:hAnsi="Noto Sans"/>
          <w:spacing w:val="0"/>
        </w:rPr>
        <w:t>. T</w:t>
      </w:r>
      <w:r w:rsidRPr="00C7163F">
        <w:rPr>
          <w:rStyle w:val="P-SStyleCondensedby02pt"/>
          <w:rFonts w:ascii="Noto Sans" w:hAnsi="Noto Sans"/>
          <w:spacing w:val="0"/>
        </w:rPr>
        <w:t>hey believe that this ensures that they are appropriately familiar with the issues concerned.</w:t>
      </w:r>
    </w:p>
    <w:p w14:paraId="0462F603" w14:textId="63B6E99F"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In accordance with the Financial Services &amp; Markets Act 2000 (‘FSMA’), the Trustee set</w:t>
      </w:r>
      <w:r w:rsidR="00484260" w:rsidRPr="00C7163F">
        <w:rPr>
          <w:rStyle w:val="P-SStyleCondensedby02pt"/>
          <w:rFonts w:ascii="Noto Sans" w:hAnsi="Noto Sans"/>
          <w:spacing w:val="0"/>
        </w:rPr>
        <w:t>s</w:t>
      </w:r>
      <w:r w:rsidRPr="00C7163F">
        <w:rPr>
          <w:rStyle w:val="P-SStyleCondensedby02pt"/>
          <w:rFonts w:ascii="Noto Sans" w:hAnsi="Noto Sans"/>
          <w:spacing w:val="0"/>
        </w:rPr>
        <w:t xml:space="preserve"> general investment policy, but have delegated day-to-day investment of the Scheme’s assets to </w:t>
      </w:r>
      <w:r w:rsidR="00947EAB" w:rsidRPr="00C7163F">
        <w:rPr>
          <w:rStyle w:val="P-SStyleCondensedby02pt"/>
          <w:rFonts w:ascii="Noto Sans" w:hAnsi="Noto Sans"/>
          <w:spacing w:val="0"/>
        </w:rPr>
        <w:t xml:space="preserve">be undertaken through </w:t>
      </w:r>
      <w:r w:rsidRPr="00C7163F">
        <w:rPr>
          <w:rStyle w:val="P-SStyleCondensedby02pt"/>
          <w:rFonts w:ascii="Noto Sans" w:hAnsi="Noto Sans"/>
          <w:spacing w:val="0"/>
        </w:rPr>
        <w:t xml:space="preserve">the </w:t>
      </w:r>
      <w:r w:rsidR="00606C26" w:rsidRPr="00C7163F">
        <w:rPr>
          <w:rStyle w:val="P-SStyleCondensedby02pt"/>
          <w:rFonts w:ascii="Noto Sans" w:hAnsi="Noto Sans"/>
          <w:spacing w:val="0"/>
        </w:rPr>
        <w:t>fiduciary management</w:t>
      </w:r>
      <w:r w:rsidRPr="00C7163F">
        <w:rPr>
          <w:rStyle w:val="P-SStyleCondensedby02pt"/>
          <w:rFonts w:ascii="Noto Sans" w:hAnsi="Noto Sans"/>
          <w:spacing w:val="0"/>
        </w:rPr>
        <w:t xml:space="preserve"> service of </w:t>
      </w:r>
      <w:r w:rsidR="004D22C7">
        <w:rPr>
          <w:rStyle w:val="P-SStyleCondensedby02pt"/>
          <w:rFonts w:ascii="Noto Sans" w:hAnsi="Noto Sans" w:cs="Noto Sans"/>
          <w:spacing w:val="0"/>
        </w:rPr>
        <w:t>Schroders</w:t>
      </w:r>
      <w:r w:rsidR="00484260" w:rsidRPr="00473DAC">
        <w:rPr>
          <w:rStyle w:val="P-SStyleCondensedby02pt"/>
          <w:rFonts w:ascii="Noto Sans" w:hAnsi="Noto Sans" w:cs="Noto Sans"/>
          <w:spacing w:val="0"/>
        </w:rPr>
        <w:t xml:space="preserve"> Investment</w:t>
      </w:r>
      <w:r w:rsidR="004D22C7">
        <w:rPr>
          <w:rStyle w:val="P-SStyleCondensedby02pt"/>
          <w:rFonts w:ascii="Noto Sans" w:hAnsi="Noto Sans" w:cs="Noto Sans"/>
          <w:spacing w:val="0"/>
        </w:rPr>
        <w:t xml:space="preserve"> Solutions</w:t>
      </w:r>
      <w:r w:rsidR="00484260" w:rsidRPr="00C7163F">
        <w:rPr>
          <w:rStyle w:val="P-SStyleCondensedby02pt"/>
          <w:rFonts w:ascii="Noto Sans" w:hAnsi="Noto Sans"/>
          <w:spacing w:val="0"/>
        </w:rPr>
        <w:t xml:space="preserve"> Limited</w:t>
      </w:r>
      <w:r w:rsidRPr="00C7163F">
        <w:rPr>
          <w:rStyle w:val="P-SStyleCondensedby02pt"/>
          <w:rFonts w:ascii="Noto Sans" w:hAnsi="Noto Sans"/>
          <w:spacing w:val="0"/>
        </w:rPr>
        <w:t xml:space="preserve"> (‘</w:t>
      </w:r>
      <w:r w:rsidR="004D22C7">
        <w:rPr>
          <w:rStyle w:val="P-SStyleCondensedby02pt"/>
          <w:rFonts w:ascii="Noto Sans" w:hAnsi="Noto Sans" w:cs="Noto Sans"/>
          <w:spacing w:val="0"/>
        </w:rPr>
        <w:t>Schroders</w:t>
      </w:r>
      <w:r w:rsidR="00443075" w:rsidRPr="00C7163F">
        <w:rPr>
          <w:rStyle w:val="P-SStyleCondensedby02pt"/>
          <w:rFonts w:ascii="Noto Sans" w:hAnsi="Noto Sans"/>
          <w:spacing w:val="0"/>
        </w:rPr>
        <w:t xml:space="preserve"> Solutions</w:t>
      </w:r>
      <w:r w:rsidRPr="00C7163F">
        <w:rPr>
          <w:rStyle w:val="P-SStyleCondensedby02pt"/>
          <w:rFonts w:ascii="Noto Sans" w:hAnsi="Noto Sans"/>
          <w:spacing w:val="0"/>
        </w:rPr>
        <w:t xml:space="preserve">’), hereafter referred to as the ‘Investment Manager’.  </w:t>
      </w:r>
    </w:p>
    <w:p w14:paraId="638471C2" w14:textId="7B2D6FD2" w:rsidR="00794380" w:rsidRPr="00C7163F" w:rsidRDefault="00314E54" w:rsidP="00C7163F">
      <w:pPr>
        <w:pStyle w:val="P-SolveHeading2"/>
        <w:spacing w:before="200"/>
        <w:rPr>
          <w:rFonts w:ascii="Schroders Circular TT" w:hAnsi="Schroders Circular TT"/>
          <w:color w:val="0070C0"/>
          <w:sz w:val="28"/>
        </w:rPr>
      </w:pPr>
      <w:r w:rsidRPr="00C7163F">
        <w:rPr>
          <w:rFonts w:ascii="Schroders Circular TT" w:hAnsi="Schroders Circular TT"/>
          <w:color w:val="0070C0"/>
          <w:sz w:val="28"/>
        </w:rPr>
        <w:t xml:space="preserve">Scheme </w:t>
      </w:r>
      <w:r w:rsidR="00794380" w:rsidRPr="00C7163F">
        <w:rPr>
          <w:rFonts w:ascii="Schroders Circular TT" w:hAnsi="Schroders Circular TT"/>
          <w:color w:val="0070C0"/>
          <w:sz w:val="28"/>
        </w:rPr>
        <w:t xml:space="preserve">Governance </w:t>
      </w:r>
    </w:p>
    <w:p w14:paraId="6B0D00CE" w14:textId="395D01FB"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The Truste</w:t>
      </w:r>
      <w:r w:rsidR="008F59A0" w:rsidRPr="00C7163F">
        <w:rPr>
          <w:rStyle w:val="P-SStyleCondensedby02pt"/>
          <w:rFonts w:ascii="Noto Sans" w:hAnsi="Noto Sans"/>
          <w:spacing w:val="0"/>
        </w:rPr>
        <w:t>e</w:t>
      </w:r>
      <w:r w:rsidRPr="00C7163F">
        <w:rPr>
          <w:rStyle w:val="P-SStyleCondensedby02pt"/>
          <w:rFonts w:ascii="Noto Sans" w:hAnsi="Noto Sans"/>
          <w:spacing w:val="0"/>
        </w:rPr>
        <w:t xml:space="preserve"> </w:t>
      </w:r>
      <w:r w:rsidR="008F59A0" w:rsidRPr="00C7163F">
        <w:rPr>
          <w:rStyle w:val="P-SStyleCondensedby02pt"/>
          <w:rFonts w:ascii="Noto Sans" w:hAnsi="Noto Sans"/>
          <w:spacing w:val="0"/>
        </w:rPr>
        <w:t>is</w:t>
      </w:r>
      <w:r w:rsidRPr="00C7163F">
        <w:rPr>
          <w:rStyle w:val="P-SStyleCondensedby02pt"/>
          <w:rFonts w:ascii="Noto Sans" w:hAnsi="Noto Sans"/>
          <w:spacing w:val="0"/>
        </w:rPr>
        <w:t xml:space="preserve"> responsible for the governance and investment of the Scheme’s assets. The Trustee</w:t>
      </w:r>
      <w:r w:rsidR="00A45201" w:rsidRPr="00C7163F">
        <w:rPr>
          <w:rStyle w:val="P-SStyleCondensedby02pt"/>
          <w:rFonts w:ascii="Noto Sans" w:hAnsi="Noto Sans"/>
          <w:spacing w:val="0"/>
        </w:rPr>
        <w:t xml:space="preserve"> considers </w:t>
      </w:r>
      <w:r w:rsidRPr="00C7163F">
        <w:rPr>
          <w:rStyle w:val="P-SStyleCondensedby02pt"/>
          <w:rFonts w:ascii="Noto Sans" w:hAnsi="Noto Sans"/>
          <w:spacing w:val="0"/>
        </w:rPr>
        <w:t xml:space="preserve">that the governance structure is appropriate for the Scheme as it allows the Trustee to make the important decisions on investment policy, while delegating the day-to-day aspects to the Investment Manager or the Advisers as appropriate. </w:t>
      </w:r>
    </w:p>
    <w:p w14:paraId="3A99DC44" w14:textId="4021BBD2" w:rsidR="008F59A0" w:rsidRPr="00C7163F" w:rsidRDefault="00794380" w:rsidP="00473DAC">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will review this SIP at least </w:t>
      </w:r>
      <w:r w:rsidR="00606C26" w:rsidRPr="00C7163F">
        <w:rPr>
          <w:rStyle w:val="P-SStyleCondensedby02pt"/>
          <w:rFonts w:ascii="Noto Sans" w:hAnsi="Noto Sans"/>
          <w:spacing w:val="0"/>
        </w:rPr>
        <w:t xml:space="preserve">every </w:t>
      </w:r>
      <w:r w:rsidRPr="00C7163F">
        <w:rPr>
          <w:rStyle w:val="P-SStyleCondensedby02pt"/>
          <w:rFonts w:ascii="Noto Sans" w:hAnsi="Noto Sans"/>
          <w:spacing w:val="0"/>
        </w:rPr>
        <w:t xml:space="preserve">three years, or following any changes to the investment strategy, and modify it with consultation from the Advisers and the </w:t>
      </w:r>
      <w:r w:rsidR="0082250D" w:rsidRPr="00C7163F">
        <w:rPr>
          <w:rStyle w:val="P-SStyleCondensedby02pt"/>
          <w:rFonts w:ascii="Noto Sans" w:hAnsi="Noto Sans"/>
          <w:spacing w:val="0"/>
        </w:rPr>
        <w:t>Sponsoring</w:t>
      </w:r>
      <w:r w:rsidRPr="00C7163F">
        <w:rPr>
          <w:rStyle w:val="P-SStyleCondensedby02pt"/>
          <w:rFonts w:ascii="Noto Sans" w:hAnsi="Noto Sans"/>
          <w:spacing w:val="0"/>
        </w:rPr>
        <w:t xml:space="preserve"> Employer if deemed appropriate. There will be no obligation to change this SIP, the Investment Manager or Adviser as part</w:t>
      </w:r>
      <w:r w:rsidR="00780A43" w:rsidRPr="00C7163F">
        <w:rPr>
          <w:rStyle w:val="P-SStyleCondensedby02pt"/>
          <w:rFonts w:ascii="Noto Sans" w:hAnsi="Noto Sans"/>
          <w:spacing w:val="0"/>
        </w:rPr>
        <w:t xml:space="preserve"> </w:t>
      </w:r>
      <w:r w:rsidRPr="00C7163F">
        <w:rPr>
          <w:rStyle w:val="P-SStyleCondensedby02pt"/>
          <w:rFonts w:ascii="Noto Sans" w:hAnsi="Noto Sans"/>
          <w:spacing w:val="0"/>
        </w:rPr>
        <w:t>of such a review.</w:t>
      </w:r>
    </w:p>
    <w:p w14:paraId="3079934F" w14:textId="77777777" w:rsidR="00473DAC" w:rsidRPr="00C7163F" w:rsidRDefault="00473DAC" w:rsidP="00C7163F">
      <w:pPr>
        <w:pStyle w:val="P-SolveHeading2"/>
        <w:spacing w:before="200"/>
        <w:rPr>
          <w:rFonts w:ascii="Schroders Circular TT" w:hAnsi="Schroders Circular TT"/>
          <w:color w:val="0070C0"/>
          <w:sz w:val="28"/>
        </w:rPr>
      </w:pPr>
      <w:bookmarkStart w:id="2" w:name="_Toc457226093"/>
      <w:r w:rsidRPr="00C7163F">
        <w:rPr>
          <w:rFonts w:ascii="Schroders Circular TT" w:hAnsi="Schroders Circular TT"/>
          <w:color w:val="0070C0"/>
          <w:sz w:val="28"/>
        </w:rPr>
        <w:t>Suitability</w:t>
      </w:r>
      <w:bookmarkEnd w:id="2"/>
    </w:p>
    <w:p w14:paraId="4315033C" w14:textId="40DE2499"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has defined the investment objective and investment strategy with due regard to the Scheme’s liabilities. </w:t>
      </w:r>
    </w:p>
    <w:p w14:paraId="1829DDDB" w14:textId="7021C123"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t>The Trustee has taken advice from the Advisers to ensure that the proposed strategy, and the assets held by the Scheme through that strategy, are suitable given its liability profile, the Trustee‘s objectives, legislative requirements, regulatory guidance and specifications in the trust deed and rules governing the Scheme (the Trust Deed).</w:t>
      </w:r>
    </w:p>
    <w:p w14:paraId="1930D1DC" w14:textId="77777777" w:rsidR="00473DAC" w:rsidRPr="00C7163F" w:rsidRDefault="00473DAC" w:rsidP="00C7163F">
      <w:pPr>
        <w:pStyle w:val="P-SolveHeading2"/>
        <w:spacing w:before="200"/>
        <w:rPr>
          <w:rFonts w:ascii="Schroders Circular TT" w:hAnsi="Schroders Circular TT"/>
          <w:color w:val="0070C0"/>
          <w:sz w:val="28"/>
        </w:rPr>
      </w:pPr>
      <w:bookmarkStart w:id="3" w:name="_Toc457226094"/>
      <w:r w:rsidRPr="00C7163F">
        <w:rPr>
          <w:rFonts w:ascii="Schroders Circular TT" w:hAnsi="Schroders Circular TT"/>
          <w:color w:val="0070C0"/>
          <w:sz w:val="28"/>
        </w:rPr>
        <w:t>Statutory Funding Requirement</w:t>
      </w:r>
      <w:bookmarkEnd w:id="3"/>
      <w:r w:rsidRPr="00C7163F">
        <w:rPr>
          <w:rFonts w:ascii="Schroders Circular TT" w:hAnsi="Schroders Circular TT"/>
          <w:color w:val="0070C0"/>
          <w:sz w:val="28"/>
        </w:rPr>
        <w:t xml:space="preserve"> </w:t>
      </w:r>
    </w:p>
    <w:p w14:paraId="00EF9A5A" w14:textId="7B73C685"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lastRenderedPageBreak/>
        <w:t xml:space="preserve">The Trustee will obtain and consider proper advice on the question of whether the investments and investment strategy are satisfactory having regard to both the investment objectives and the requirement to meet any statutory funding requirements. The funding position is reviewed periodically by the Scheme Actuary, with a full actuarial valuation at least every three years.  </w:t>
      </w:r>
    </w:p>
    <w:p w14:paraId="03010F5E" w14:textId="1C8738D5"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t>The Trustee will consider with the Investment Adviser and the Scheme Actuary whether the results of these actuarial valuations suggest that any change to investment strategy is necessary to ensure continued compliance with the statutory funding requirement.</w:t>
      </w:r>
    </w:p>
    <w:p w14:paraId="5AB7441E" w14:textId="77777777" w:rsidR="00473DAC" w:rsidRPr="00C7163F" w:rsidRDefault="00473DAC" w:rsidP="00C7163F">
      <w:pPr>
        <w:pStyle w:val="P-SolveHeading2"/>
        <w:spacing w:before="200"/>
        <w:rPr>
          <w:rFonts w:ascii="Schroders Circular TT" w:hAnsi="Schroders Circular TT"/>
          <w:color w:val="0070C0"/>
          <w:sz w:val="28"/>
        </w:rPr>
      </w:pPr>
      <w:bookmarkStart w:id="4" w:name="_Toc457226095"/>
      <w:r w:rsidRPr="00C7163F">
        <w:rPr>
          <w:rFonts w:ascii="Schroders Circular TT" w:hAnsi="Schroders Circular TT"/>
          <w:color w:val="0070C0"/>
          <w:sz w:val="28"/>
        </w:rPr>
        <w:t>Investment Objectives</w:t>
      </w:r>
      <w:bookmarkEnd w:id="4"/>
    </w:p>
    <w:p w14:paraId="43BD165D" w14:textId="219A0CA2"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overall objective of the Scheme is to meet the benefit payments promised as they fall due. The Trustee </w:t>
      </w:r>
      <w:r w:rsidRPr="00473DAC">
        <w:rPr>
          <w:rStyle w:val="P-SStyleCondensedby02pt"/>
          <w:rFonts w:ascii="Noto Sans" w:hAnsi="Noto Sans" w:cs="Noto Sans"/>
          <w:spacing w:val="0"/>
        </w:rPr>
        <w:t>h</w:t>
      </w:r>
      <w:r w:rsidR="00A61E3F">
        <w:rPr>
          <w:rStyle w:val="P-SStyleCondensedby02pt"/>
          <w:rFonts w:ascii="Noto Sans" w:hAnsi="Noto Sans" w:cs="Noto Sans"/>
          <w:spacing w:val="0"/>
        </w:rPr>
        <w:t>as</w:t>
      </w:r>
      <w:r w:rsidRPr="00C7163F">
        <w:rPr>
          <w:rStyle w:val="P-SStyleCondensedby02pt"/>
          <w:rFonts w:ascii="Noto Sans" w:hAnsi="Noto Sans"/>
          <w:spacing w:val="0"/>
        </w:rPr>
        <w:t xml:space="preserve"> set the following qualitative objectives:</w:t>
      </w:r>
    </w:p>
    <w:p w14:paraId="480FC8BF" w14:textId="20925FC2" w:rsidR="00473DAC" w:rsidRPr="00C7163F" w:rsidRDefault="00473DAC" w:rsidP="004F77EF">
      <w:pPr>
        <w:pStyle w:val="P-SolveBodyText"/>
        <w:numPr>
          <w:ilvl w:val="0"/>
          <w:numId w:val="19"/>
        </w:numPr>
        <w:rPr>
          <w:rStyle w:val="P-SStyleCondensedby02pt"/>
          <w:rFonts w:ascii="Noto Sans" w:hAnsi="Noto Sans"/>
          <w:spacing w:val="0"/>
        </w:rPr>
      </w:pPr>
      <w:r w:rsidRPr="00C7163F">
        <w:rPr>
          <w:rStyle w:val="P-SStyleCondensedby02pt"/>
          <w:rFonts w:ascii="Noto Sans" w:hAnsi="Noto Sans"/>
          <w:spacing w:val="0"/>
        </w:rPr>
        <w:t>The acquisition of suitable assets, having due regard to the risks set out in this Statement, which will generate income and capital growth to pay, together with contributions from</w:t>
      </w:r>
      <w:r w:rsidR="004F77EF">
        <w:rPr>
          <w:rStyle w:val="P-SStyleCondensedby02pt"/>
          <w:rFonts w:ascii="Noto Sans" w:hAnsi="Noto Sans" w:cs="Noto Sans"/>
          <w:spacing w:val="0"/>
        </w:rPr>
        <w:t xml:space="preserve"> </w:t>
      </w:r>
      <w:r w:rsidRPr="00C7163F">
        <w:rPr>
          <w:rStyle w:val="P-SStyleCondensedby02pt"/>
          <w:rFonts w:ascii="Noto Sans" w:hAnsi="Noto Sans"/>
          <w:spacing w:val="0"/>
        </w:rPr>
        <w:t>the Sponsoring Employer, the benefits which the Scheme provides as they fall due.</w:t>
      </w:r>
    </w:p>
    <w:p w14:paraId="209534DC" w14:textId="77777777" w:rsidR="00473DAC" w:rsidRPr="00C7163F" w:rsidRDefault="00473DAC" w:rsidP="004F77EF">
      <w:pPr>
        <w:pStyle w:val="P-SolveBodyText"/>
        <w:numPr>
          <w:ilvl w:val="0"/>
          <w:numId w:val="19"/>
        </w:numPr>
        <w:rPr>
          <w:rStyle w:val="P-SStyleCondensedby02pt"/>
          <w:rFonts w:ascii="Noto Sans" w:hAnsi="Noto Sans"/>
          <w:spacing w:val="0"/>
        </w:rPr>
      </w:pPr>
      <w:r w:rsidRPr="00C7163F">
        <w:rPr>
          <w:rStyle w:val="P-SStyleCondensedby02pt"/>
          <w:rFonts w:ascii="Noto Sans" w:hAnsi="Noto Sans"/>
          <w:spacing w:val="0"/>
        </w:rPr>
        <w:t>To limit the risk of the assets being assessed as failing to meet the liabilities over the long term having regard to any statutory funding requirement.</w:t>
      </w:r>
    </w:p>
    <w:p w14:paraId="17199DDD" w14:textId="77777777" w:rsidR="00473DAC" w:rsidRPr="00C7163F" w:rsidRDefault="00473DAC" w:rsidP="004F77EF">
      <w:pPr>
        <w:pStyle w:val="P-SolveBodyText"/>
        <w:numPr>
          <w:ilvl w:val="0"/>
          <w:numId w:val="19"/>
        </w:numPr>
        <w:rPr>
          <w:rStyle w:val="P-SStyleCondensedby02pt"/>
          <w:rFonts w:ascii="Noto Sans" w:hAnsi="Noto Sans"/>
          <w:spacing w:val="0"/>
        </w:rPr>
      </w:pPr>
      <w:r w:rsidRPr="00C7163F">
        <w:rPr>
          <w:rStyle w:val="P-SStyleCondensedby02pt"/>
          <w:rFonts w:ascii="Noto Sans" w:hAnsi="Noto Sans"/>
          <w:spacing w:val="0"/>
        </w:rPr>
        <w:t>To achieve a return on investments which is expected to at least meet the Scheme Actuary’s assumptions over the long term.</w:t>
      </w:r>
    </w:p>
    <w:p w14:paraId="4CC9D4C4" w14:textId="09B2354E"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t xml:space="preserve">In quantitative terms, the </w:t>
      </w:r>
      <w:r w:rsidRPr="00C7163F">
        <w:rPr>
          <w:rFonts w:ascii="Noto Sans" w:hAnsi="Noto Sans"/>
        </w:rPr>
        <w:t xml:space="preserve">Trustee invest in a blend of Growth </w:t>
      </w:r>
      <w:r>
        <w:rPr>
          <w:rFonts w:ascii="Noto Sans" w:hAnsi="Noto Sans" w:cs="Noto Sans"/>
        </w:rPr>
        <w:t>A</w:t>
      </w:r>
      <w:r w:rsidRPr="00473DAC">
        <w:rPr>
          <w:rFonts w:ascii="Noto Sans" w:hAnsi="Noto Sans" w:cs="Noto Sans"/>
        </w:rPr>
        <w:t>ssets</w:t>
      </w:r>
      <w:r w:rsidRPr="00C7163F">
        <w:rPr>
          <w:rFonts w:ascii="Noto Sans" w:hAnsi="Noto Sans"/>
        </w:rPr>
        <w:t xml:space="preserve"> that broadly targets </w:t>
      </w:r>
      <w:r>
        <w:rPr>
          <w:rFonts w:ascii="Noto Sans" w:hAnsi="Noto Sans" w:cs="Noto Sans"/>
        </w:rPr>
        <w:t xml:space="preserve">an investment return of </w:t>
      </w:r>
      <w:r w:rsidRPr="00C7163F">
        <w:rPr>
          <w:rFonts w:ascii="Noto Sans" w:hAnsi="Noto Sans"/>
        </w:rPr>
        <w:t xml:space="preserve">4% above cash, a portfolio of </w:t>
      </w:r>
      <w:r w:rsidRPr="00473DAC">
        <w:rPr>
          <w:rFonts w:ascii="Noto Sans" w:hAnsi="Noto Sans" w:cs="Noto Sans"/>
        </w:rPr>
        <w:t>credit</w:t>
      </w:r>
      <w:r>
        <w:rPr>
          <w:rFonts w:ascii="Noto Sans" w:hAnsi="Noto Sans" w:cs="Noto Sans"/>
        </w:rPr>
        <w:t>s</w:t>
      </w:r>
      <w:r w:rsidRPr="00C7163F">
        <w:rPr>
          <w:rFonts w:ascii="Noto Sans" w:hAnsi="Noto Sans"/>
        </w:rPr>
        <w:t xml:space="preserve"> that </w:t>
      </w:r>
      <w:r w:rsidRPr="00473DAC">
        <w:rPr>
          <w:rFonts w:ascii="Noto Sans" w:hAnsi="Noto Sans" w:cs="Noto Sans"/>
        </w:rPr>
        <w:t>target</w:t>
      </w:r>
      <w:r>
        <w:rPr>
          <w:rFonts w:ascii="Noto Sans" w:hAnsi="Noto Sans" w:cs="Noto Sans"/>
        </w:rPr>
        <w:t>s an investment return of</w:t>
      </w:r>
      <w:r w:rsidRPr="00C7163F">
        <w:rPr>
          <w:rFonts w:ascii="Noto Sans" w:hAnsi="Noto Sans"/>
        </w:rPr>
        <w:t xml:space="preserve"> 1% above cash and a liability hedge which aims to mitigate the change in the liabilities. The Trustee decides the blend of these </w:t>
      </w:r>
      <w:r w:rsidR="004F77EF" w:rsidRPr="004F77EF">
        <w:rPr>
          <w:rFonts w:ascii="Noto Sans" w:hAnsi="Noto Sans"/>
        </w:rPr>
        <w:t>strategic allocations</w:t>
      </w:r>
      <w:r w:rsidRPr="00C7163F">
        <w:rPr>
          <w:rFonts w:ascii="Noto Sans" w:hAnsi="Noto Sans"/>
        </w:rPr>
        <w:t xml:space="preserve"> to target the appropriate return for the Scheme, this is shown in the Quarterly Monitoring Report.</w:t>
      </w:r>
    </w:p>
    <w:p w14:paraId="75F446DB" w14:textId="77777777" w:rsidR="00473DAC" w:rsidRPr="00C7163F" w:rsidRDefault="00473DAC" w:rsidP="00C7163F">
      <w:pPr>
        <w:pStyle w:val="P-SolveHeading2"/>
        <w:spacing w:before="200"/>
        <w:rPr>
          <w:rFonts w:ascii="Schroders Circular TT" w:hAnsi="Schroders Circular TT"/>
          <w:color w:val="0070C0"/>
          <w:sz w:val="28"/>
        </w:rPr>
      </w:pPr>
      <w:bookmarkStart w:id="5" w:name="_Toc457226096"/>
      <w:r w:rsidRPr="00C7163F">
        <w:rPr>
          <w:rFonts w:ascii="Schroders Circular TT" w:hAnsi="Schroders Circular TT"/>
          <w:color w:val="0070C0"/>
          <w:sz w:val="28"/>
        </w:rPr>
        <w:t>Implementation of investment strategy</w:t>
      </w:r>
      <w:bookmarkEnd w:id="5"/>
    </w:p>
    <w:p w14:paraId="374F2FBA" w14:textId="14B3B380" w:rsidR="00473DAC" w:rsidRPr="00C7163F" w:rsidRDefault="00473DAC" w:rsidP="00473DAC">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has delegated the investment of the Scheme assets to the Investment Manager, which has discretion to invest the Scheme assets in underlying securities and funds, either directly or through the use of other investment managers </w:t>
      </w:r>
      <w:r w:rsidRPr="00473DAC">
        <w:rPr>
          <w:rStyle w:val="P-SStyleCondensedby02pt"/>
          <w:rFonts w:ascii="Noto Sans" w:hAnsi="Noto Sans" w:cs="Noto Sans"/>
          <w:spacing w:val="0"/>
        </w:rPr>
        <w:t>of pooled funds</w:t>
      </w:r>
      <w:r w:rsidRPr="00C7163F">
        <w:rPr>
          <w:rStyle w:val="P-SStyleCondensedby02pt"/>
          <w:rFonts w:ascii="Noto Sans" w:hAnsi="Noto Sans"/>
          <w:spacing w:val="0"/>
        </w:rPr>
        <w:t xml:space="preserve"> (hereafter referred to as the ‘Underlying Managers’) to run the portfolio on a day-to-day basis. The Trustee has acknowledged and considered with sufficient diligence the potential conflict that may arise from the Investment Manager and the Investment Adviser being the same organisation.</w:t>
      </w:r>
    </w:p>
    <w:p w14:paraId="23CD7647" w14:textId="565EEAE6" w:rsidR="00473DAC" w:rsidRPr="00473DAC" w:rsidRDefault="00473DAC" w:rsidP="00473DAC">
      <w:pPr>
        <w:rPr>
          <w:rFonts w:ascii="Noto Sans" w:hAnsi="Noto Sans" w:cs="Noto Sans"/>
          <w:b/>
          <w:color w:val="A39161"/>
          <w:sz w:val="32"/>
          <w:szCs w:val="42"/>
        </w:rPr>
        <w:sectPr w:rsidR="00473DAC" w:rsidRPr="00473DAC" w:rsidSect="003E6563">
          <w:type w:val="continuous"/>
          <w:pgSz w:w="11906" w:h="16838"/>
          <w:pgMar w:top="391" w:right="851" w:bottom="567" w:left="851" w:header="709" w:footer="709" w:gutter="0"/>
          <w:cols w:space="708"/>
          <w:titlePg/>
          <w:docGrid w:linePitch="360"/>
        </w:sectPr>
      </w:pPr>
    </w:p>
    <w:p w14:paraId="30DF87F9" w14:textId="77777777" w:rsidR="00794380" w:rsidRPr="00C7163F" w:rsidRDefault="00794380" w:rsidP="00C7163F">
      <w:pPr>
        <w:pStyle w:val="P-SolveHeading2"/>
        <w:spacing w:before="200"/>
        <w:rPr>
          <w:rFonts w:ascii="Schroders Circular TT" w:hAnsi="Schroders Circular TT"/>
          <w:color w:val="0070C0"/>
          <w:sz w:val="28"/>
        </w:rPr>
      </w:pPr>
      <w:bookmarkStart w:id="6" w:name="_Toc457226097"/>
      <w:r w:rsidRPr="00C7163F">
        <w:rPr>
          <w:rFonts w:ascii="Schroders Circular TT" w:hAnsi="Schroders Circular TT"/>
          <w:color w:val="0070C0"/>
          <w:sz w:val="28"/>
        </w:rPr>
        <w:lastRenderedPageBreak/>
        <w:t>Monitoring</w:t>
      </w:r>
      <w:bookmarkEnd w:id="6"/>
    </w:p>
    <w:p w14:paraId="0A703AFF" w14:textId="565DCF82"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will monitor the performance of the Investment Manager against the agreed performance objectives.  </w:t>
      </w:r>
    </w:p>
    <w:p w14:paraId="0E93EC75" w14:textId="3F865DA3"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w:t>
      </w:r>
      <w:r w:rsidR="00F635DE" w:rsidRPr="00C7163F">
        <w:rPr>
          <w:rStyle w:val="P-SStyleCondensedby02pt"/>
          <w:rFonts w:ascii="Noto Sans" w:hAnsi="Noto Sans"/>
          <w:spacing w:val="0"/>
        </w:rPr>
        <w:t>or any other suitably qua</w:t>
      </w:r>
      <w:r w:rsidR="006E1A33" w:rsidRPr="00C7163F">
        <w:rPr>
          <w:rStyle w:val="P-SStyleCondensedby02pt"/>
          <w:rFonts w:ascii="Noto Sans" w:hAnsi="Noto Sans"/>
          <w:spacing w:val="0"/>
        </w:rPr>
        <w:t>l</w:t>
      </w:r>
      <w:r w:rsidR="00F635DE" w:rsidRPr="00C7163F">
        <w:rPr>
          <w:rStyle w:val="P-SStyleCondensedby02pt"/>
          <w:rFonts w:ascii="Noto Sans" w:hAnsi="Noto Sans"/>
          <w:spacing w:val="0"/>
        </w:rPr>
        <w:t>i</w:t>
      </w:r>
      <w:r w:rsidR="006E1A33" w:rsidRPr="00C7163F">
        <w:rPr>
          <w:rStyle w:val="P-SStyleCondensedby02pt"/>
          <w:rFonts w:ascii="Noto Sans" w:hAnsi="Noto Sans"/>
          <w:spacing w:val="0"/>
        </w:rPr>
        <w:t>fi</w:t>
      </w:r>
      <w:r w:rsidR="00F635DE" w:rsidRPr="00C7163F">
        <w:rPr>
          <w:rStyle w:val="P-SStyleCondensedby02pt"/>
          <w:rFonts w:ascii="Noto Sans" w:hAnsi="Noto Sans"/>
          <w:spacing w:val="0"/>
        </w:rPr>
        <w:t>ed Adviser</w:t>
      </w:r>
      <w:r w:rsidR="00F635DE" w:rsidRPr="00C7163F" w:rsidDel="00F635DE">
        <w:rPr>
          <w:rStyle w:val="P-SStyleCondensedby02pt"/>
          <w:rFonts w:ascii="Noto Sans" w:hAnsi="Noto Sans"/>
          <w:spacing w:val="0"/>
        </w:rPr>
        <w:t xml:space="preserve"> </w:t>
      </w:r>
      <w:r w:rsidRPr="00C7163F">
        <w:rPr>
          <w:rStyle w:val="P-SStyleCondensedby02pt"/>
          <w:rFonts w:ascii="Noto Sans" w:hAnsi="Noto Sans"/>
          <w:spacing w:val="0"/>
        </w:rPr>
        <w:t>on behalf of the Trustee, will regularly review the activities of the Investment Manager to satisfy themselves that the Investment Manager continue</w:t>
      </w:r>
      <w:r w:rsidR="00E14A6C" w:rsidRPr="00C7163F">
        <w:rPr>
          <w:rStyle w:val="P-SStyleCondensedby02pt"/>
          <w:rFonts w:ascii="Noto Sans" w:hAnsi="Noto Sans"/>
          <w:spacing w:val="0"/>
        </w:rPr>
        <w:t>s</w:t>
      </w:r>
      <w:r w:rsidRPr="00C7163F">
        <w:rPr>
          <w:rStyle w:val="P-SStyleCondensedby02pt"/>
          <w:rFonts w:ascii="Noto Sans" w:hAnsi="Noto Sans"/>
          <w:spacing w:val="0"/>
        </w:rPr>
        <w:t xml:space="preserve"> to carry out their work competently and have the appropriate knowledge and experience to manage the assets of the </w:t>
      </w:r>
      <w:r w:rsidR="006E2779" w:rsidRPr="00C7163F">
        <w:rPr>
          <w:rStyle w:val="P-SStyleCondensedby02pt"/>
          <w:rFonts w:ascii="Noto Sans" w:hAnsi="Noto Sans"/>
          <w:spacing w:val="0"/>
        </w:rPr>
        <w:t>Scheme</w:t>
      </w:r>
      <w:r w:rsidRPr="00C7163F">
        <w:rPr>
          <w:rStyle w:val="P-SStyleCondensedby02pt"/>
          <w:rFonts w:ascii="Noto Sans" w:hAnsi="Noto Sans"/>
          <w:spacing w:val="0"/>
        </w:rPr>
        <w:t xml:space="preserve">. </w:t>
      </w:r>
    </w:p>
    <w:p w14:paraId="5BE2F13C" w14:textId="7B705646"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As part of this review, the Trustee will consider whether or not the Investment Manager:</w:t>
      </w:r>
    </w:p>
    <w:p w14:paraId="2C4D757F" w14:textId="77777777" w:rsidR="00794380" w:rsidRPr="00C7163F" w:rsidRDefault="00E14A6C" w:rsidP="00794380">
      <w:pPr>
        <w:pStyle w:val="P-SolveBodyText"/>
        <w:numPr>
          <w:ilvl w:val="0"/>
          <w:numId w:val="8"/>
        </w:numPr>
        <w:rPr>
          <w:rStyle w:val="P-SStyleCondensedby02pt"/>
          <w:rFonts w:ascii="Noto Sans" w:hAnsi="Noto Sans"/>
          <w:spacing w:val="0"/>
        </w:rPr>
      </w:pPr>
      <w:r w:rsidRPr="00C7163F">
        <w:rPr>
          <w:rStyle w:val="P-SStyleCondensedby02pt"/>
          <w:rFonts w:ascii="Noto Sans" w:hAnsi="Noto Sans"/>
          <w:spacing w:val="0"/>
        </w:rPr>
        <w:t xml:space="preserve">Is </w:t>
      </w:r>
      <w:r w:rsidR="00794380" w:rsidRPr="00C7163F">
        <w:rPr>
          <w:rStyle w:val="P-SStyleCondensedby02pt"/>
          <w:rFonts w:ascii="Noto Sans" w:hAnsi="Noto Sans"/>
          <w:spacing w:val="0"/>
        </w:rPr>
        <w:t>carrying out their function competently.</w:t>
      </w:r>
    </w:p>
    <w:p w14:paraId="32A155CA" w14:textId="77777777" w:rsidR="00794380" w:rsidRPr="00C7163F" w:rsidRDefault="00794380" w:rsidP="00794380">
      <w:pPr>
        <w:pStyle w:val="P-SolveBodyText"/>
        <w:numPr>
          <w:ilvl w:val="0"/>
          <w:numId w:val="8"/>
        </w:numPr>
        <w:rPr>
          <w:rStyle w:val="P-SStyleCondensedby02pt"/>
          <w:rFonts w:ascii="Noto Sans" w:hAnsi="Noto Sans"/>
          <w:spacing w:val="0"/>
        </w:rPr>
      </w:pPr>
      <w:r w:rsidRPr="00C7163F">
        <w:rPr>
          <w:rStyle w:val="P-SStyleCondensedby02pt"/>
          <w:rFonts w:ascii="Noto Sans" w:hAnsi="Noto Sans"/>
          <w:spacing w:val="0"/>
        </w:rPr>
        <w:t>Ha</w:t>
      </w:r>
      <w:r w:rsidR="00E14A6C" w:rsidRPr="00C7163F">
        <w:rPr>
          <w:rStyle w:val="P-SStyleCondensedby02pt"/>
          <w:rFonts w:ascii="Noto Sans" w:hAnsi="Noto Sans"/>
          <w:spacing w:val="0"/>
        </w:rPr>
        <w:t>s</w:t>
      </w:r>
      <w:r w:rsidRPr="00C7163F">
        <w:rPr>
          <w:rStyle w:val="P-SStyleCondensedby02pt"/>
          <w:rFonts w:ascii="Noto Sans" w:hAnsi="Noto Sans"/>
          <w:spacing w:val="0"/>
        </w:rPr>
        <w:t xml:space="preserve"> regard to the need for diversification of investments.</w:t>
      </w:r>
    </w:p>
    <w:p w14:paraId="7264F940" w14:textId="77777777" w:rsidR="00794380" w:rsidRPr="00C7163F" w:rsidRDefault="00794380" w:rsidP="00794380">
      <w:pPr>
        <w:pStyle w:val="P-SolveBodyText"/>
        <w:numPr>
          <w:ilvl w:val="0"/>
          <w:numId w:val="8"/>
        </w:numPr>
        <w:rPr>
          <w:rStyle w:val="P-SStyleCondensedby02pt"/>
          <w:rFonts w:ascii="Noto Sans" w:hAnsi="Noto Sans"/>
          <w:spacing w:val="0"/>
        </w:rPr>
      </w:pPr>
      <w:r w:rsidRPr="00C7163F">
        <w:rPr>
          <w:rStyle w:val="P-SStyleCondensedby02pt"/>
          <w:rFonts w:ascii="Noto Sans" w:hAnsi="Noto Sans"/>
          <w:spacing w:val="0"/>
        </w:rPr>
        <w:t>Ha</w:t>
      </w:r>
      <w:r w:rsidR="00E14A6C" w:rsidRPr="00C7163F">
        <w:rPr>
          <w:rStyle w:val="P-SStyleCondensedby02pt"/>
          <w:rFonts w:ascii="Noto Sans" w:hAnsi="Noto Sans"/>
          <w:spacing w:val="0"/>
        </w:rPr>
        <w:t>s</w:t>
      </w:r>
      <w:r w:rsidRPr="00C7163F">
        <w:rPr>
          <w:rStyle w:val="P-SStyleCondensedby02pt"/>
          <w:rFonts w:ascii="Noto Sans" w:hAnsi="Noto Sans"/>
          <w:spacing w:val="0"/>
        </w:rPr>
        <w:t xml:space="preserve"> regard to the suitability of each investment and each category of investment.</w:t>
      </w:r>
    </w:p>
    <w:p w14:paraId="26BB0868" w14:textId="77777777" w:rsidR="00794380" w:rsidRPr="00C7163F" w:rsidRDefault="00794380" w:rsidP="00794380">
      <w:pPr>
        <w:pStyle w:val="P-SolveBodyText"/>
        <w:numPr>
          <w:ilvl w:val="0"/>
          <w:numId w:val="8"/>
        </w:numPr>
        <w:rPr>
          <w:rStyle w:val="P-SStyleCondensedby02pt"/>
          <w:rFonts w:ascii="Noto Sans" w:hAnsi="Noto Sans"/>
          <w:spacing w:val="0"/>
        </w:rPr>
      </w:pPr>
      <w:r w:rsidRPr="00C7163F">
        <w:rPr>
          <w:rStyle w:val="P-SStyleCondensedby02pt"/>
          <w:rFonts w:ascii="Noto Sans" w:hAnsi="Noto Sans"/>
          <w:spacing w:val="0"/>
        </w:rPr>
        <w:t>Ha</w:t>
      </w:r>
      <w:r w:rsidR="00E14A6C" w:rsidRPr="00C7163F">
        <w:rPr>
          <w:rStyle w:val="P-SStyleCondensedby02pt"/>
          <w:rFonts w:ascii="Noto Sans" w:hAnsi="Noto Sans"/>
          <w:spacing w:val="0"/>
        </w:rPr>
        <w:t>s</w:t>
      </w:r>
      <w:r w:rsidRPr="00C7163F">
        <w:rPr>
          <w:rStyle w:val="P-SStyleCondensedby02pt"/>
          <w:rFonts w:ascii="Noto Sans" w:hAnsi="Noto Sans"/>
          <w:spacing w:val="0"/>
        </w:rPr>
        <w:t xml:space="preserve"> been exercising their powers of investment with a view to giving effect to the principles contained in this SIP, so far as is reasonably practical. </w:t>
      </w:r>
    </w:p>
    <w:p w14:paraId="703E56DE" w14:textId="68E9DB6B" w:rsidR="00794380"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 xml:space="preserve">If the Trustee </w:t>
      </w:r>
      <w:r w:rsidR="00D50E97">
        <w:rPr>
          <w:rStyle w:val="P-SStyleCondensedby02pt"/>
          <w:rFonts w:ascii="Noto Sans" w:hAnsi="Noto Sans" w:cs="Noto Sans"/>
          <w:spacing w:val="0"/>
        </w:rPr>
        <w:t>is</w:t>
      </w:r>
      <w:r w:rsidRPr="00C7163F">
        <w:rPr>
          <w:rStyle w:val="P-SStyleCondensedby02pt"/>
          <w:rFonts w:ascii="Noto Sans" w:hAnsi="Noto Sans"/>
          <w:spacing w:val="0"/>
        </w:rPr>
        <w:t xml:space="preserve"> not satisfied with </w:t>
      </w:r>
      <w:r w:rsidR="00E14A6C" w:rsidRPr="00C7163F">
        <w:rPr>
          <w:rStyle w:val="P-SStyleCondensedby02pt"/>
          <w:rFonts w:ascii="Noto Sans" w:hAnsi="Noto Sans"/>
          <w:spacing w:val="0"/>
        </w:rPr>
        <w:t>the</w:t>
      </w:r>
      <w:r w:rsidRPr="00C7163F">
        <w:rPr>
          <w:rStyle w:val="P-SStyleCondensedby02pt"/>
          <w:rFonts w:ascii="Noto Sans" w:hAnsi="Noto Sans"/>
          <w:spacing w:val="0"/>
        </w:rPr>
        <w:t xml:space="preserve"> Investment Manager they will ask the Investment Manager to take steps to rectify the situation. If the Investment Manager still does not meet the </w:t>
      </w:r>
      <w:r w:rsidRPr="00473DAC">
        <w:rPr>
          <w:rStyle w:val="P-SStyleCondensedby02pt"/>
          <w:rFonts w:ascii="Noto Sans" w:hAnsi="Noto Sans" w:cs="Noto Sans"/>
          <w:spacing w:val="0"/>
        </w:rPr>
        <w:t>Trustee</w:t>
      </w:r>
      <w:r w:rsidR="00484260" w:rsidRPr="00473DAC">
        <w:rPr>
          <w:rStyle w:val="P-SStyleCondensedby02pt"/>
          <w:rFonts w:ascii="Noto Sans" w:hAnsi="Noto Sans" w:cs="Noto Sans"/>
          <w:spacing w:val="0"/>
        </w:rPr>
        <w:t>‘s</w:t>
      </w:r>
      <w:r w:rsidRPr="00C7163F">
        <w:rPr>
          <w:rStyle w:val="P-SStyleCondensedby02pt"/>
          <w:rFonts w:ascii="Noto Sans" w:hAnsi="Noto Sans"/>
          <w:spacing w:val="0"/>
        </w:rPr>
        <w:t xml:space="preserve"> requirements, the Trustee will remove </w:t>
      </w:r>
      <w:r w:rsidR="00E14A6C" w:rsidRPr="00C7163F">
        <w:rPr>
          <w:rStyle w:val="P-SStyleCondensedby02pt"/>
          <w:rFonts w:ascii="Noto Sans" w:hAnsi="Noto Sans"/>
          <w:spacing w:val="0"/>
        </w:rPr>
        <w:t>the Investment</w:t>
      </w:r>
      <w:r w:rsidRPr="00C7163F">
        <w:rPr>
          <w:rStyle w:val="P-SStyleCondensedby02pt"/>
          <w:rFonts w:ascii="Noto Sans" w:hAnsi="Noto Sans"/>
          <w:spacing w:val="0"/>
        </w:rPr>
        <w:t xml:space="preserve"> Manager and appoint another.</w:t>
      </w:r>
    </w:p>
    <w:p w14:paraId="229781BB" w14:textId="12326022" w:rsidR="00794380" w:rsidRPr="00C7163F" w:rsidRDefault="00794380" w:rsidP="00C7163F">
      <w:pPr>
        <w:pStyle w:val="P-SolveHeading2"/>
        <w:spacing w:before="200"/>
        <w:rPr>
          <w:rFonts w:ascii="Schroders Circular TT" w:hAnsi="Schroders Circular TT"/>
          <w:color w:val="0070C0"/>
          <w:sz w:val="28"/>
        </w:rPr>
      </w:pPr>
      <w:bookmarkStart w:id="7" w:name="_Toc457226099"/>
      <w:bookmarkStart w:id="8" w:name="_Hlk48129880"/>
      <w:bookmarkStart w:id="9" w:name="_Hlk48631444"/>
      <w:r w:rsidRPr="00C7163F">
        <w:rPr>
          <w:rFonts w:ascii="Schroders Circular TT" w:hAnsi="Schroders Circular TT"/>
          <w:color w:val="0070C0"/>
          <w:sz w:val="28"/>
        </w:rPr>
        <w:t>Corporate Governance</w:t>
      </w:r>
      <w:bookmarkEnd w:id="7"/>
      <w:r w:rsidR="00607FD4" w:rsidRPr="00C7163F">
        <w:rPr>
          <w:rFonts w:ascii="Schroders Circular TT" w:hAnsi="Schroders Circular TT"/>
          <w:color w:val="0070C0"/>
          <w:sz w:val="28"/>
        </w:rPr>
        <w:t xml:space="preserve"> and Stewardship</w:t>
      </w:r>
    </w:p>
    <w:p w14:paraId="3274502F" w14:textId="69ECDDCE" w:rsidR="00F41D76" w:rsidRPr="00C7163F" w:rsidRDefault="00F41D76" w:rsidP="00F41D76">
      <w:pPr>
        <w:pStyle w:val="P-SolveBodyText"/>
        <w:rPr>
          <w:rStyle w:val="P-SStyleCondensedby02pt"/>
          <w:rFonts w:ascii="Noto Sans" w:hAnsi="Noto Sans"/>
          <w:spacing w:val="0"/>
        </w:rPr>
      </w:pPr>
      <w:bookmarkStart w:id="10" w:name="_Hlk48129637"/>
      <w:bookmarkStart w:id="11" w:name="_Hlk48129870"/>
      <w:bookmarkEnd w:id="8"/>
      <w:r w:rsidRPr="00C7163F">
        <w:rPr>
          <w:rStyle w:val="P-SStyleCondensedby02pt"/>
          <w:rFonts w:ascii="Noto Sans" w:hAnsi="Noto Sans"/>
          <w:spacing w:val="0"/>
        </w:rPr>
        <w:t xml:space="preserve">The Trustee and Investment Manager have agreed, and will maintain, formal agreements setting out the scope of the Investment Manager’s activities, charging basis and other relevant matters. The Investment Manager has been provided with a copy of this SIP and is required to exercise </w:t>
      </w:r>
      <w:r w:rsidR="00033BF1" w:rsidRPr="00C7163F">
        <w:rPr>
          <w:rStyle w:val="P-SStyleCondensedby02pt"/>
          <w:rFonts w:ascii="Noto Sans" w:hAnsi="Noto Sans"/>
          <w:spacing w:val="0"/>
        </w:rPr>
        <w:t>its</w:t>
      </w:r>
      <w:r w:rsidRPr="00C7163F">
        <w:rPr>
          <w:rStyle w:val="P-SStyleCondensedby02pt"/>
          <w:rFonts w:ascii="Noto Sans" w:hAnsi="Noto Sans"/>
          <w:spacing w:val="0"/>
        </w:rPr>
        <w:t xml:space="preserve"> powers with a view to giving effect to the principles contained herein and in accordance with subsection (2) of Section 36 of the Pensions Act 1995.</w:t>
      </w:r>
      <w:r w:rsidRPr="00473DAC">
        <w:rPr>
          <w:rStyle w:val="P-SStyleCondensedby02pt"/>
          <w:rFonts w:ascii="Noto Sans" w:hAnsi="Noto Sans" w:cs="Noto Sans"/>
          <w:spacing w:val="0"/>
        </w:rPr>
        <w:t xml:space="preserve"> </w:t>
      </w:r>
    </w:p>
    <w:p w14:paraId="40B4DBC9" w14:textId="2AA35799" w:rsidR="00F41D76" w:rsidRPr="00C7163F" w:rsidRDefault="00F41D76" w:rsidP="00F41D76">
      <w:pPr>
        <w:pStyle w:val="P-SolveBodyText"/>
        <w:rPr>
          <w:rFonts w:ascii="Noto Sans" w:hAnsi="Noto Sans"/>
        </w:rPr>
      </w:pPr>
      <w:r w:rsidRPr="00C7163F">
        <w:rPr>
          <w:rFonts w:ascii="Noto Sans" w:hAnsi="Noto Sans"/>
        </w:rPr>
        <w:t xml:space="preserve">The Trustee has appointed the Investment Manager to implement the Scheme’s investment strategy. The Investment Manager manages assets directly on behalf of the Trustee as well as having delegated authority to appoint, monitor and change the </w:t>
      </w:r>
      <w:r w:rsidR="004B4021" w:rsidRPr="00C7163F">
        <w:rPr>
          <w:rFonts w:ascii="Noto Sans" w:hAnsi="Noto Sans"/>
        </w:rPr>
        <w:t>U</w:t>
      </w:r>
      <w:r w:rsidRPr="00C7163F">
        <w:rPr>
          <w:rFonts w:ascii="Noto Sans" w:hAnsi="Noto Sans"/>
        </w:rPr>
        <w:t xml:space="preserve">nderlying </w:t>
      </w:r>
      <w:r w:rsidR="004B4021" w:rsidRPr="00C7163F">
        <w:rPr>
          <w:rFonts w:ascii="Noto Sans" w:hAnsi="Noto Sans"/>
        </w:rPr>
        <w:t>M</w:t>
      </w:r>
      <w:r w:rsidRPr="00C7163F">
        <w:rPr>
          <w:rFonts w:ascii="Noto Sans" w:hAnsi="Noto Sans"/>
        </w:rPr>
        <w:t xml:space="preserve">anagers. </w:t>
      </w:r>
      <w:bookmarkStart w:id="12" w:name="_Hlk48572146"/>
      <w:r w:rsidRPr="00C7163F">
        <w:rPr>
          <w:rFonts w:ascii="Noto Sans" w:hAnsi="Noto Sans"/>
        </w:rPr>
        <w:t xml:space="preserve">The Investment Manager </w:t>
      </w:r>
      <w:r w:rsidR="00033BF1" w:rsidRPr="00C7163F">
        <w:rPr>
          <w:rFonts w:ascii="Noto Sans" w:hAnsi="Noto Sans"/>
        </w:rPr>
        <w:t>is appointed to carry out its role on an ongoing basis</w:t>
      </w:r>
      <w:r w:rsidRPr="00C7163F">
        <w:rPr>
          <w:rFonts w:ascii="Noto Sans" w:hAnsi="Noto Sans"/>
        </w:rPr>
        <w:t xml:space="preserve">. The Trustee periodically reviews the overall value-for-money of using </w:t>
      </w:r>
      <w:r w:rsidR="004D22C7">
        <w:rPr>
          <w:rFonts w:ascii="Noto Sans" w:hAnsi="Noto Sans" w:cs="Noto Sans"/>
        </w:rPr>
        <w:t>Schroders</w:t>
      </w:r>
      <w:r w:rsidRPr="00C7163F">
        <w:rPr>
          <w:rFonts w:ascii="Noto Sans" w:hAnsi="Noto Sans"/>
        </w:rPr>
        <w:t xml:space="preserve"> Solutions</w:t>
      </w:r>
      <w:r w:rsidR="00F46FA3" w:rsidRPr="00C7163F">
        <w:rPr>
          <w:rFonts w:ascii="Noto Sans" w:hAnsi="Noto Sans"/>
        </w:rPr>
        <w:t>,</w:t>
      </w:r>
      <w:r w:rsidRPr="00C7163F">
        <w:rPr>
          <w:rFonts w:ascii="Noto Sans" w:hAnsi="Noto Sans"/>
        </w:rPr>
        <w:t xml:space="preserve"> and information </w:t>
      </w:r>
      <w:r w:rsidR="00033BF1" w:rsidRPr="00C7163F">
        <w:rPr>
          <w:rFonts w:ascii="Noto Sans" w:hAnsi="Noto Sans"/>
        </w:rPr>
        <w:t>in relation to</w:t>
      </w:r>
      <w:r w:rsidRPr="00C7163F">
        <w:rPr>
          <w:rFonts w:ascii="Noto Sans" w:hAnsi="Noto Sans"/>
        </w:rPr>
        <w:t xml:space="preserve"> costs associated with investing </w:t>
      </w:r>
      <w:r w:rsidR="00F46FA3" w:rsidRPr="00C7163F">
        <w:rPr>
          <w:rFonts w:ascii="Noto Sans" w:hAnsi="Noto Sans"/>
        </w:rPr>
        <w:t>is</w:t>
      </w:r>
      <w:r w:rsidRPr="00C7163F">
        <w:rPr>
          <w:rFonts w:ascii="Noto Sans" w:hAnsi="Noto Sans"/>
        </w:rPr>
        <w:t xml:space="preserve"> included in the quarterly monitoring report.</w:t>
      </w:r>
      <w:r w:rsidR="00A40A6B" w:rsidRPr="00C7163F">
        <w:rPr>
          <w:rFonts w:ascii="Noto Sans" w:hAnsi="Noto Sans"/>
        </w:rPr>
        <w:t xml:space="preserve"> </w:t>
      </w:r>
      <w:bookmarkEnd w:id="12"/>
      <w:r w:rsidRPr="00C7163F">
        <w:rPr>
          <w:rFonts w:ascii="Noto Sans" w:hAnsi="Noto Sans"/>
        </w:rPr>
        <w:t xml:space="preserve">The Trustee is satisfied that </w:t>
      </w:r>
      <w:r w:rsidR="00F46FA3" w:rsidRPr="00C7163F">
        <w:rPr>
          <w:rFonts w:ascii="Noto Sans" w:hAnsi="Noto Sans"/>
        </w:rPr>
        <w:t xml:space="preserve">these </w:t>
      </w:r>
      <w:r w:rsidRPr="00C7163F">
        <w:rPr>
          <w:rFonts w:ascii="Noto Sans" w:hAnsi="Noto Sans"/>
        </w:rPr>
        <w:t>arrangement</w:t>
      </w:r>
      <w:r w:rsidR="00F46FA3" w:rsidRPr="00C7163F">
        <w:rPr>
          <w:rFonts w:ascii="Noto Sans" w:hAnsi="Noto Sans"/>
        </w:rPr>
        <w:t>s</w:t>
      </w:r>
      <w:r w:rsidRPr="00C7163F">
        <w:rPr>
          <w:rFonts w:ascii="Noto Sans" w:hAnsi="Noto Sans"/>
        </w:rPr>
        <w:t xml:space="preserve"> incentivise the Investment Manager</w:t>
      </w:r>
      <w:r w:rsidR="00512ACE" w:rsidRPr="00C7163F">
        <w:rPr>
          <w:rFonts w:ascii="Noto Sans" w:hAnsi="Noto Sans"/>
        </w:rPr>
        <w:t>:</w:t>
      </w:r>
    </w:p>
    <w:p w14:paraId="75608323" w14:textId="08D868B1" w:rsidR="00F41D76" w:rsidRPr="00C7163F" w:rsidRDefault="00F46FA3" w:rsidP="00F41D76">
      <w:pPr>
        <w:pStyle w:val="P-SolveBodyText"/>
        <w:numPr>
          <w:ilvl w:val="0"/>
          <w:numId w:val="15"/>
        </w:numPr>
        <w:rPr>
          <w:rFonts w:ascii="Noto Sans" w:hAnsi="Noto Sans"/>
        </w:rPr>
      </w:pPr>
      <w:r w:rsidRPr="00C7163F">
        <w:rPr>
          <w:rFonts w:ascii="Noto Sans" w:hAnsi="Noto Sans"/>
        </w:rPr>
        <w:t>t</w:t>
      </w:r>
      <w:r w:rsidR="00F41D76" w:rsidRPr="00C7163F">
        <w:rPr>
          <w:rFonts w:ascii="Noto Sans" w:hAnsi="Noto Sans"/>
        </w:rPr>
        <w:t>o align its investment strategy and decision</w:t>
      </w:r>
      <w:r w:rsidRPr="00C7163F">
        <w:rPr>
          <w:rFonts w:ascii="Noto Sans" w:hAnsi="Noto Sans"/>
        </w:rPr>
        <w:t>s</w:t>
      </w:r>
      <w:r w:rsidR="00F41D76" w:rsidRPr="00C7163F">
        <w:rPr>
          <w:rFonts w:ascii="Noto Sans" w:hAnsi="Noto Sans"/>
        </w:rPr>
        <w:t xml:space="preserve"> with the Trustee’s</w:t>
      </w:r>
      <w:r w:rsidR="00033BF1" w:rsidRPr="00C7163F">
        <w:rPr>
          <w:rFonts w:ascii="Noto Sans" w:hAnsi="Noto Sans"/>
        </w:rPr>
        <w:t xml:space="preserve"> investment</w:t>
      </w:r>
      <w:r w:rsidR="00F41D76" w:rsidRPr="00C7163F">
        <w:rPr>
          <w:rFonts w:ascii="Noto Sans" w:hAnsi="Noto Sans"/>
        </w:rPr>
        <w:t xml:space="preserve"> policies</w:t>
      </w:r>
      <w:r w:rsidRPr="00C7163F">
        <w:rPr>
          <w:rFonts w:ascii="Noto Sans" w:hAnsi="Noto Sans"/>
        </w:rPr>
        <w:t>,</w:t>
      </w:r>
      <w:r w:rsidR="00B26EC7" w:rsidRPr="00C7163F">
        <w:rPr>
          <w:rFonts w:ascii="Noto Sans" w:hAnsi="Noto Sans"/>
        </w:rPr>
        <w:t xml:space="preserve"> such as their return target and </w:t>
      </w:r>
      <w:r w:rsidR="003E73F9" w:rsidRPr="00C7163F">
        <w:rPr>
          <w:rFonts w:ascii="Noto Sans" w:hAnsi="Noto Sans"/>
        </w:rPr>
        <w:t xml:space="preserve">the </w:t>
      </w:r>
      <w:r w:rsidR="00B26EC7" w:rsidRPr="00C7163F">
        <w:rPr>
          <w:rFonts w:ascii="Noto Sans" w:hAnsi="Noto Sans"/>
        </w:rPr>
        <w:t>restrictions detailed in the</w:t>
      </w:r>
      <w:r w:rsidR="00A5087B" w:rsidRPr="00C7163F">
        <w:rPr>
          <w:rFonts w:ascii="Noto Sans" w:hAnsi="Noto Sans"/>
        </w:rPr>
        <w:t xml:space="preserve"> </w:t>
      </w:r>
      <w:r w:rsidR="004C6FE4" w:rsidRPr="00C7163F">
        <w:rPr>
          <w:rFonts w:ascii="Noto Sans" w:hAnsi="Noto Sans"/>
        </w:rPr>
        <w:t>Fiduciary</w:t>
      </w:r>
      <w:r w:rsidR="00B26EC7" w:rsidRPr="00C7163F">
        <w:rPr>
          <w:rFonts w:ascii="Noto Sans" w:hAnsi="Noto Sans"/>
        </w:rPr>
        <w:t xml:space="preserve"> Management Agreement</w:t>
      </w:r>
      <w:r w:rsidR="00033BF1" w:rsidRPr="00C7163F">
        <w:rPr>
          <w:rFonts w:ascii="Noto Sans" w:hAnsi="Noto Sans"/>
        </w:rPr>
        <w:t xml:space="preserve">, </w:t>
      </w:r>
      <w:r w:rsidR="003C5FCA" w:rsidRPr="00C7163F">
        <w:rPr>
          <w:rFonts w:ascii="Noto Sans" w:hAnsi="Noto Sans"/>
        </w:rPr>
        <w:t>a</w:t>
      </w:r>
      <w:r w:rsidR="00033BF1" w:rsidRPr="00C7163F">
        <w:rPr>
          <w:rFonts w:ascii="Noto Sans" w:hAnsi="Noto Sans"/>
        </w:rPr>
        <w:t>nd</w:t>
      </w:r>
    </w:p>
    <w:p w14:paraId="7AC051DC" w14:textId="161C09B9" w:rsidR="002B389F" w:rsidRPr="00C7163F" w:rsidRDefault="00F46FA3" w:rsidP="00473DAC">
      <w:pPr>
        <w:pStyle w:val="P-SolveBodyText"/>
        <w:numPr>
          <w:ilvl w:val="0"/>
          <w:numId w:val="15"/>
        </w:numPr>
        <w:rPr>
          <w:rStyle w:val="P-SStyleCondensedby02pt"/>
          <w:rFonts w:ascii="Noto Sans" w:hAnsi="Noto Sans"/>
          <w:spacing w:val="0"/>
        </w:rPr>
      </w:pPr>
      <w:r w:rsidRPr="00C7163F">
        <w:rPr>
          <w:rFonts w:ascii="Noto Sans" w:hAnsi="Noto Sans"/>
        </w:rPr>
        <w:t>t</w:t>
      </w:r>
      <w:r w:rsidR="00F41D76" w:rsidRPr="00C7163F">
        <w:rPr>
          <w:rFonts w:ascii="Noto Sans" w:hAnsi="Noto Sans"/>
        </w:rPr>
        <w:t>o</w:t>
      </w:r>
      <w:r w:rsidR="00033BF1" w:rsidRPr="00C7163F">
        <w:rPr>
          <w:rFonts w:ascii="Noto Sans" w:hAnsi="Noto Sans"/>
        </w:rPr>
        <w:t xml:space="preserve"> assess and</w:t>
      </w:r>
      <w:r w:rsidR="00F41D76" w:rsidRPr="00C7163F">
        <w:rPr>
          <w:rFonts w:ascii="Noto Sans" w:hAnsi="Noto Sans"/>
        </w:rPr>
        <w:t xml:space="preserve"> make decisions based on </w:t>
      </w:r>
      <w:r w:rsidRPr="00C7163F">
        <w:rPr>
          <w:rFonts w:ascii="Noto Sans" w:hAnsi="Noto Sans"/>
        </w:rPr>
        <w:t xml:space="preserve">the </w:t>
      </w:r>
      <w:r w:rsidR="00F41D76" w:rsidRPr="00C7163F">
        <w:rPr>
          <w:rFonts w:ascii="Noto Sans" w:hAnsi="Noto Sans"/>
        </w:rPr>
        <w:t>medium</w:t>
      </w:r>
      <w:r w:rsidR="004F0D4B" w:rsidRPr="00C7163F">
        <w:rPr>
          <w:rFonts w:ascii="Noto Sans" w:hAnsi="Noto Sans"/>
        </w:rPr>
        <w:t>-</w:t>
      </w:r>
      <w:r w:rsidR="00F41D76" w:rsidRPr="00C7163F">
        <w:rPr>
          <w:rFonts w:ascii="Noto Sans" w:hAnsi="Noto Sans"/>
        </w:rPr>
        <w:t xml:space="preserve"> to long-term financial and non-financial performance of issuer</w:t>
      </w:r>
      <w:r w:rsidR="002C141F" w:rsidRPr="00C7163F">
        <w:rPr>
          <w:rFonts w:ascii="Noto Sans" w:hAnsi="Noto Sans"/>
        </w:rPr>
        <w:t>s</w:t>
      </w:r>
      <w:r w:rsidR="00F41D76" w:rsidRPr="00C7163F">
        <w:rPr>
          <w:rFonts w:ascii="Noto Sans" w:hAnsi="Noto Sans"/>
        </w:rPr>
        <w:t xml:space="preserve"> of debt or equity</w:t>
      </w:r>
      <w:r w:rsidR="00B26EC7" w:rsidRPr="00C7163F">
        <w:rPr>
          <w:rFonts w:ascii="Noto Sans" w:hAnsi="Noto Sans"/>
        </w:rPr>
        <w:t>,</w:t>
      </w:r>
      <w:r w:rsidR="00033BF1" w:rsidRPr="00C7163F">
        <w:rPr>
          <w:rFonts w:ascii="Noto Sans" w:hAnsi="Noto Sans"/>
        </w:rPr>
        <w:t xml:space="preserve"> and to engage with </w:t>
      </w:r>
      <w:r w:rsidR="004F0D4B" w:rsidRPr="00C7163F">
        <w:rPr>
          <w:rFonts w:ascii="Noto Sans" w:hAnsi="Noto Sans"/>
        </w:rPr>
        <w:t>such</w:t>
      </w:r>
      <w:r w:rsidR="00033BF1" w:rsidRPr="00C7163F">
        <w:rPr>
          <w:rFonts w:ascii="Noto Sans" w:hAnsi="Noto Sans"/>
        </w:rPr>
        <w:t xml:space="preserve"> issuer</w:t>
      </w:r>
      <w:r w:rsidR="004F0D4B" w:rsidRPr="00C7163F">
        <w:rPr>
          <w:rFonts w:ascii="Noto Sans" w:hAnsi="Noto Sans"/>
        </w:rPr>
        <w:t>s</w:t>
      </w:r>
      <w:r w:rsidR="00033BF1" w:rsidRPr="00C7163F">
        <w:rPr>
          <w:rFonts w:ascii="Noto Sans" w:hAnsi="Noto Sans"/>
        </w:rPr>
        <w:t xml:space="preserve"> to improve this medium-</w:t>
      </w:r>
      <w:r w:rsidR="004F0D4B" w:rsidRPr="00C7163F">
        <w:rPr>
          <w:rFonts w:ascii="Noto Sans" w:hAnsi="Noto Sans"/>
        </w:rPr>
        <w:t xml:space="preserve"> to </w:t>
      </w:r>
      <w:r w:rsidR="00033BF1" w:rsidRPr="00C7163F">
        <w:rPr>
          <w:rFonts w:ascii="Noto Sans" w:hAnsi="Noto Sans"/>
        </w:rPr>
        <w:t>long</w:t>
      </w:r>
      <w:r w:rsidR="004F0D4B" w:rsidRPr="00C7163F">
        <w:rPr>
          <w:rFonts w:ascii="Noto Sans" w:hAnsi="Noto Sans"/>
        </w:rPr>
        <w:t>-</w:t>
      </w:r>
      <w:r w:rsidR="00033BF1" w:rsidRPr="00C7163F">
        <w:rPr>
          <w:rFonts w:ascii="Noto Sans" w:hAnsi="Noto Sans"/>
        </w:rPr>
        <w:t>term performance</w:t>
      </w:r>
      <w:r w:rsidR="002C141F" w:rsidRPr="00C7163F">
        <w:rPr>
          <w:rFonts w:ascii="Noto Sans" w:hAnsi="Noto Sans"/>
        </w:rPr>
        <w:t>. T</w:t>
      </w:r>
      <w:r w:rsidR="004F0D4B" w:rsidRPr="00C7163F">
        <w:rPr>
          <w:rFonts w:ascii="Noto Sans" w:hAnsi="Noto Sans"/>
        </w:rPr>
        <w:t xml:space="preserve">he success of </w:t>
      </w:r>
      <w:r w:rsidR="002C141F" w:rsidRPr="00C7163F">
        <w:rPr>
          <w:rFonts w:ascii="Noto Sans" w:hAnsi="Noto Sans"/>
        </w:rPr>
        <w:t>such engagement</w:t>
      </w:r>
      <w:r w:rsidR="004F0D4B" w:rsidRPr="00C7163F">
        <w:rPr>
          <w:rFonts w:ascii="Noto Sans" w:hAnsi="Noto Sans"/>
        </w:rPr>
        <w:t xml:space="preserve"> will contribute to the Scheme</w:t>
      </w:r>
      <w:r w:rsidR="004C6FE4" w:rsidRPr="00C7163F">
        <w:rPr>
          <w:rFonts w:ascii="Noto Sans" w:hAnsi="Noto Sans"/>
        </w:rPr>
        <w:t>’</w:t>
      </w:r>
      <w:r w:rsidR="004F0D4B" w:rsidRPr="00C7163F">
        <w:rPr>
          <w:rFonts w:ascii="Noto Sans" w:hAnsi="Noto Sans"/>
        </w:rPr>
        <w:t>s performance</w:t>
      </w:r>
      <w:r w:rsidR="00033BF1" w:rsidRPr="00C7163F">
        <w:rPr>
          <w:rFonts w:ascii="Noto Sans" w:hAnsi="Noto Sans"/>
        </w:rPr>
        <w:t>,</w:t>
      </w:r>
      <w:r w:rsidR="00B26EC7" w:rsidRPr="00C7163F">
        <w:rPr>
          <w:rFonts w:ascii="Noto Sans" w:hAnsi="Noto Sans"/>
        </w:rPr>
        <w:t xml:space="preserve"> which </w:t>
      </w:r>
      <w:r w:rsidR="004F0D4B" w:rsidRPr="00C7163F">
        <w:rPr>
          <w:rFonts w:ascii="Noto Sans" w:hAnsi="Noto Sans"/>
        </w:rPr>
        <w:t>is measured relative to</w:t>
      </w:r>
      <w:r w:rsidR="00B26EC7" w:rsidRPr="00C7163F">
        <w:rPr>
          <w:rFonts w:ascii="Noto Sans" w:hAnsi="Noto Sans"/>
        </w:rPr>
        <w:t xml:space="preserve"> the</w:t>
      </w:r>
      <w:r w:rsidR="00A5087B" w:rsidRPr="00C7163F">
        <w:rPr>
          <w:rFonts w:ascii="Noto Sans" w:hAnsi="Noto Sans"/>
        </w:rPr>
        <w:t xml:space="preserve"> Trustee</w:t>
      </w:r>
      <w:r w:rsidR="004F0D4B" w:rsidRPr="00C7163F">
        <w:rPr>
          <w:rFonts w:ascii="Noto Sans" w:hAnsi="Noto Sans"/>
        </w:rPr>
        <w:t>’</w:t>
      </w:r>
      <w:r w:rsidR="00A5087B" w:rsidRPr="00C7163F">
        <w:rPr>
          <w:rFonts w:ascii="Noto Sans" w:hAnsi="Noto Sans"/>
        </w:rPr>
        <w:t>s</w:t>
      </w:r>
      <w:r w:rsidR="00B26EC7" w:rsidRPr="00C7163F">
        <w:rPr>
          <w:rFonts w:ascii="Noto Sans" w:hAnsi="Noto Sans"/>
        </w:rPr>
        <w:t xml:space="preserve"> long-term performance objectives</w:t>
      </w:r>
      <w:r w:rsidR="004F0D4B" w:rsidRPr="00C7163F">
        <w:rPr>
          <w:rFonts w:ascii="Noto Sans" w:hAnsi="Noto Sans"/>
        </w:rPr>
        <w:t>.</w:t>
      </w:r>
    </w:p>
    <w:p w14:paraId="4ED1B7EB" w14:textId="65D5B168" w:rsidR="001A56DB" w:rsidRPr="00C7163F" w:rsidRDefault="00794380" w:rsidP="00484260">
      <w:pPr>
        <w:pStyle w:val="P-SolveBodyText"/>
        <w:rPr>
          <w:rFonts w:ascii="Noto Sans" w:hAnsi="Noto Sans"/>
        </w:rPr>
      </w:pPr>
      <w:r w:rsidRPr="00C7163F">
        <w:rPr>
          <w:rStyle w:val="P-SStyleCondensedby02pt"/>
          <w:rFonts w:ascii="Noto Sans" w:hAnsi="Noto Sans"/>
          <w:spacing w:val="0"/>
        </w:rPr>
        <w:t xml:space="preserve">The </w:t>
      </w:r>
      <w:r w:rsidR="00C43D92" w:rsidRPr="00C7163F">
        <w:rPr>
          <w:rStyle w:val="P-SStyleCondensedby02pt"/>
          <w:rFonts w:ascii="Noto Sans" w:hAnsi="Noto Sans"/>
          <w:spacing w:val="0"/>
        </w:rPr>
        <w:t>Scheme</w:t>
      </w:r>
      <w:r w:rsidR="00033BF1" w:rsidRPr="00C7163F">
        <w:rPr>
          <w:rStyle w:val="P-SStyleCondensedby02pt"/>
          <w:rFonts w:ascii="Noto Sans" w:hAnsi="Noto Sans"/>
          <w:spacing w:val="0"/>
        </w:rPr>
        <w:t>’s</w:t>
      </w:r>
      <w:r w:rsidRPr="00C7163F">
        <w:rPr>
          <w:rStyle w:val="P-SStyleCondensedby02pt"/>
          <w:rFonts w:ascii="Noto Sans" w:hAnsi="Noto Sans"/>
          <w:spacing w:val="0"/>
        </w:rPr>
        <w:t xml:space="preserve"> investments are generally made via pooled investment funds, in which the </w:t>
      </w:r>
      <w:r w:rsidR="00C43D92" w:rsidRPr="00C7163F">
        <w:rPr>
          <w:rStyle w:val="P-SStyleCondensedby02pt"/>
          <w:rFonts w:ascii="Noto Sans" w:hAnsi="Noto Sans"/>
          <w:spacing w:val="0"/>
        </w:rPr>
        <w:t>Scheme</w:t>
      </w:r>
      <w:r w:rsidR="00355E14" w:rsidRPr="00C7163F">
        <w:rPr>
          <w:rStyle w:val="P-SStyleCondensedby02pt"/>
          <w:rFonts w:ascii="Noto Sans" w:hAnsi="Noto Sans"/>
          <w:spacing w:val="0"/>
        </w:rPr>
        <w:t>’</w:t>
      </w:r>
      <w:r w:rsidR="00033BF1" w:rsidRPr="00C7163F">
        <w:rPr>
          <w:rStyle w:val="P-SStyleCondensedby02pt"/>
          <w:rFonts w:ascii="Noto Sans" w:hAnsi="Noto Sans"/>
          <w:spacing w:val="0"/>
        </w:rPr>
        <w:t>s</w:t>
      </w:r>
      <w:r w:rsidRPr="00C7163F">
        <w:rPr>
          <w:rStyle w:val="P-SStyleCondensedby02pt"/>
          <w:rFonts w:ascii="Noto Sans" w:hAnsi="Noto Sans"/>
          <w:spacing w:val="0"/>
        </w:rPr>
        <w:t xml:space="preserve"> investments are pooled with those of other investors. As such, direct control of the process of engaging with the companies that issue these securities, whether for corporate governance purposes </w:t>
      </w:r>
      <w:r w:rsidR="00A5087B" w:rsidRPr="00C7163F">
        <w:rPr>
          <w:rStyle w:val="P-SStyleCondensedby02pt"/>
          <w:rFonts w:ascii="Noto Sans" w:hAnsi="Noto Sans"/>
          <w:spacing w:val="0"/>
        </w:rPr>
        <w:t>(such as capital structure</w:t>
      </w:r>
      <w:r w:rsidR="00B520BF" w:rsidRPr="00C7163F">
        <w:rPr>
          <w:rStyle w:val="P-SStyleCondensedby02pt"/>
          <w:rFonts w:ascii="Noto Sans" w:hAnsi="Noto Sans"/>
          <w:spacing w:val="0"/>
        </w:rPr>
        <w:t xml:space="preserve">) </w:t>
      </w:r>
      <w:r w:rsidRPr="00C7163F">
        <w:rPr>
          <w:rStyle w:val="P-SStyleCondensedby02pt"/>
          <w:rFonts w:ascii="Noto Sans" w:hAnsi="Noto Sans"/>
          <w:spacing w:val="0"/>
        </w:rPr>
        <w:t xml:space="preserve">or </w:t>
      </w:r>
      <w:r w:rsidR="00484260" w:rsidRPr="00C7163F">
        <w:rPr>
          <w:rStyle w:val="P-SStyleCondensedby02pt"/>
          <w:rFonts w:ascii="Noto Sans" w:hAnsi="Noto Sans"/>
          <w:spacing w:val="0"/>
        </w:rPr>
        <w:t>other financially material considerations</w:t>
      </w:r>
      <w:r w:rsidRPr="00C7163F">
        <w:rPr>
          <w:rStyle w:val="P-SStyleCondensedby02pt"/>
          <w:rFonts w:ascii="Noto Sans" w:hAnsi="Noto Sans"/>
          <w:spacing w:val="0"/>
        </w:rPr>
        <w:t xml:space="preserve">, is delegated to the </w:t>
      </w:r>
      <w:r w:rsidR="00484260" w:rsidRPr="00C7163F">
        <w:rPr>
          <w:rStyle w:val="P-SStyleCondensedby02pt"/>
          <w:rFonts w:ascii="Noto Sans" w:hAnsi="Noto Sans"/>
          <w:spacing w:val="0"/>
        </w:rPr>
        <w:t>Underlying Managers.</w:t>
      </w:r>
      <w:r w:rsidR="00484260" w:rsidRPr="00C7163F">
        <w:rPr>
          <w:rFonts w:ascii="Noto Sans" w:hAnsi="Noto Sans"/>
        </w:rPr>
        <w:t xml:space="preserve"> </w:t>
      </w:r>
    </w:p>
    <w:p w14:paraId="2AE96FCF" w14:textId="77777777" w:rsidR="00521477" w:rsidRPr="00AC47D2" w:rsidRDefault="00484260" w:rsidP="00521477">
      <w:pPr>
        <w:pStyle w:val="BodytextRegular"/>
        <w:rPr>
          <w:rStyle w:val="P-SStyleCondensedby02pt"/>
          <w:rFonts w:ascii="Noto Sans" w:hAnsi="Noto Sans" w:cs="Noto Sans"/>
          <w:sz w:val="20"/>
        </w:rPr>
      </w:pPr>
      <w:r w:rsidRPr="00AC47D2">
        <w:rPr>
          <w:rStyle w:val="P-SStyleCondensedby02pt"/>
          <w:rFonts w:ascii="Noto Sans" w:hAnsi="Noto Sans"/>
          <w:spacing w:val="0"/>
          <w:sz w:val="20"/>
        </w:rPr>
        <w:t>The Truste</w:t>
      </w:r>
      <w:r w:rsidR="004C6FE4" w:rsidRPr="00AC47D2">
        <w:rPr>
          <w:rStyle w:val="P-SStyleCondensedby02pt"/>
          <w:rFonts w:ascii="Noto Sans" w:hAnsi="Noto Sans"/>
          <w:spacing w:val="0"/>
          <w:sz w:val="20"/>
        </w:rPr>
        <w:t>e</w:t>
      </w:r>
      <w:r w:rsidRPr="00AC47D2">
        <w:rPr>
          <w:rStyle w:val="P-SStyleCondensedby02pt"/>
          <w:rFonts w:ascii="Noto Sans" w:hAnsi="Noto Sans"/>
          <w:spacing w:val="0"/>
          <w:sz w:val="20"/>
        </w:rPr>
        <w:t xml:space="preserve"> </w:t>
      </w:r>
      <w:r w:rsidRPr="00AC47D2">
        <w:rPr>
          <w:rStyle w:val="P-SStyleCondensedby02pt"/>
          <w:rFonts w:ascii="Noto Sans" w:hAnsi="Noto Sans" w:cs="Noto Sans"/>
          <w:spacing w:val="0"/>
          <w:sz w:val="20"/>
        </w:rPr>
        <w:t>ha</w:t>
      </w:r>
      <w:r w:rsidR="004C6FE4" w:rsidRPr="00AC47D2">
        <w:rPr>
          <w:rStyle w:val="P-SStyleCondensedby02pt"/>
          <w:rFonts w:ascii="Noto Sans" w:hAnsi="Noto Sans" w:cs="Noto Sans"/>
          <w:spacing w:val="0"/>
          <w:sz w:val="20"/>
        </w:rPr>
        <w:t>s</w:t>
      </w:r>
      <w:r w:rsidRPr="00AC47D2">
        <w:rPr>
          <w:rStyle w:val="P-SStyleCondensedby02pt"/>
          <w:rFonts w:ascii="Noto Sans" w:hAnsi="Noto Sans"/>
          <w:spacing w:val="0"/>
          <w:sz w:val="20"/>
        </w:rPr>
        <w:t xml:space="preserve"> delegated responsibility for monitoring and voting on </w:t>
      </w:r>
      <w:r w:rsidR="00033BF1" w:rsidRPr="00AC47D2">
        <w:rPr>
          <w:rStyle w:val="P-SStyleCondensedby02pt"/>
          <w:rFonts w:ascii="Noto Sans" w:hAnsi="Noto Sans"/>
          <w:spacing w:val="0"/>
          <w:sz w:val="20"/>
        </w:rPr>
        <w:t xml:space="preserve">decisions relating to </w:t>
      </w:r>
      <w:r w:rsidRPr="00AC47D2">
        <w:rPr>
          <w:rStyle w:val="P-SStyleCondensedby02pt"/>
          <w:rFonts w:ascii="Noto Sans" w:hAnsi="Noto Sans"/>
          <w:spacing w:val="0"/>
          <w:sz w:val="20"/>
        </w:rPr>
        <w:t xml:space="preserve">their Underlying Manager holdings to the Investment Manager. </w:t>
      </w:r>
      <w:r w:rsidR="00521477" w:rsidRPr="00AC47D2">
        <w:rPr>
          <w:rStyle w:val="P-SStyleCondensedby02pt"/>
          <w:rFonts w:ascii="Noto Sans" w:hAnsi="Noto Sans" w:cs="Noto Sans"/>
          <w:sz w:val="20"/>
        </w:rPr>
        <w:t xml:space="preserve">The Trustee does not have its own voting and engagement policies for the Scheme at this time, but it has the responsibility for the voting and engagement policies that the Investment Manager implements on its behalf and reviews these policies from time to time. The Investment Manager has an ESG policy in place which covers both voting and engagement as part of the overall active ownership strategy. </w:t>
      </w:r>
    </w:p>
    <w:p w14:paraId="58731890" w14:textId="77777777" w:rsidR="00521477" w:rsidRPr="00AC47D2" w:rsidRDefault="00521477" w:rsidP="00521477">
      <w:pPr>
        <w:pStyle w:val="P-SolveBodyText"/>
        <w:rPr>
          <w:rStyle w:val="P-SStyleCondensedby02pt"/>
          <w:rFonts w:ascii="Noto Sans" w:hAnsi="Noto Sans" w:cs="Noto Sans"/>
        </w:rPr>
      </w:pPr>
      <w:r w:rsidRPr="00AC47D2">
        <w:rPr>
          <w:rStyle w:val="P-SStyleCondensedby02pt"/>
          <w:rFonts w:ascii="Noto Sans" w:hAnsi="Noto Sans" w:cs="Noto Sans"/>
        </w:rPr>
        <w:t xml:space="preserve">The Trustee undertakes the engagement directly with its Investment Manager who appoint Underlying Managers to carry out engagement with investee companies directly. The Investment Manager set out its voting and engagement priorities which focus on six themes including climate, Natural Capital and Biodiversity, Human Rights, Human Capital Management, Diversity and Inclusion and Corporate Governance. The Trustee has aligned its engagement priorities with the Investment </w:t>
      </w:r>
      <w:r w:rsidRPr="00AC47D2">
        <w:rPr>
          <w:rStyle w:val="P-SStyleCondensedby02pt"/>
          <w:rFonts w:ascii="Noto Sans" w:hAnsi="Noto Sans" w:cs="Noto Sans"/>
        </w:rPr>
        <w:lastRenderedPageBreak/>
        <w:t>Manager’s. In particular, the Investment Manager will focus on engagement within the themes of Climate, Natural Capital and Biodiversity, and Human Rights as a matter of priority.</w:t>
      </w:r>
    </w:p>
    <w:p w14:paraId="52822746" w14:textId="0F524CAC" w:rsidR="00521477" w:rsidRPr="00AC47D2" w:rsidRDefault="00521477" w:rsidP="00521477">
      <w:pPr>
        <w:pStyle w:val="P-SolveBodyText"/>
        <w:rPr>
          <w:rFonts w:ascii="Noto Sans" w:hAnsi="Noto Sans" w:cs="Noto Sans"/>
        </w:rPr>
      </w:pPr>
      <w:r w:rsidRPr="00AC47D2">
        <w:rPr>
          <w:rStyle w:val="P-SStyleCondensedby02pt"/>
          <w:rFonts w:ascii="Noto Sans" w:hAnsi="Noto Sans" w:cs="Noto Sans"/>
        </w:rPr>
        <w:t xml:space="preserve">The Trustee believes those engagement priorities which have been chosen by the Investment Manager will result in better management of financially-material ESG and climate risks, therefore it is expected to improve the financial outcome of the Scheme which ultimately is in the members and beneficiaries’ best interest.  The Trustee reviews the voting and engagement activity of the Investment Manager on an annual basis including a review of the annual fiduciary management ESG report and will challenge the Investment Manager as necessary on its stewardship activity. </w:t>
      </w:r>
    </w:p>
    <w:p w14:paraId="73560D3D" w14:textId="6B9FBCB0" w:rsidR="00EF7CE6" w:rsidRPr="00AC47D2" w:rsidRDefault="00EF7CE6" w:rsidP="00521477">
      <w:pPr>
        <w:pStyle w:val="P-SolveBodyText"/>
        <w:rPr>
          <w:rFonts w:ascii="Noto Sans" w:hAnsi="Noto Sans"/>
        </w:rPr>
      </w:pPr>
    </w:p>
    <w:p w14:paraId="46EB07AE" w14:textId="77777777" w:rsidR="00794380" w:rsidRPr="00C7163F" w:rsidRDefault="00794380" w:rsidP="00C7163F">
      <w:pPr>
        <w:pStyle w:val="P-SolveHeading2"/>
        <w:spacing w:before="200"/>
        <w:rPr>
          <w:rFonts w:ascii="Schroders Circular TT" w:hAnsi="Schroders Circular TT"/>
          <w:color w:val="0070C0"/>
          <w:sz w:val="28"/>
        </w:rPr>
      </w:pPr>
      <w:bookmarkStart w:id="13" w:name="_Toc457226100"/>
      <w:bookmarkEnd w:id="9"/>
      <w:bookmarkEnd w:id="10"/>
      <w:bookmarkEnd w:id="11"/>
      <w:r w:rsidRPr="00C7163F">
        <w:rPr>
          <w:rFonts w:ascii="Schroders Circular TT" w:hAnsi="Schroders Circular TT"/>
          <w:color w:val="0070C0"/>
          <w:sz w:val="28"/>
        </w:rPr>
        <w:t xml:space="preserve">Realisation of </w:t>
      </w:r>
      <w:bookmarkEnd w:id="13"/>
      <w:r w:rsidR="00484260" w:rsidRPr="00C7163F">
        <w:rPr>
          <w:rFonts w:ascii="Schroders Circular TT" w:hAnsi="Schroders Circular TT"/>
          <w:color w:val="0070C0"/>
          <w:sz w:val="28"/>
        </w:rPr>
        <w:t>Investments</w:t>
      </w:r>
    </w:p>
    <w:p w14:paraId="5FF69940" w14:textId="04710D16" w:rsidR="00762A78" w:rsidRPr="00C7163F" w:rsidRDefault="00794380" w:rsidP="00794380">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majority of assets are held in underlying pooled funds, most of which can be realised easily if the Trustee so require.  </w:t>
      </w:r>
      <w:r w:rsidR="00067C09" w:rsidRPr="00C7163F">
        <w:rPr>
          <w:rStyle w:val="P-SStyleCondensedby02pt"/>
          <w:rFonts w:ascii="Noto Sans" w:hAnsi="Noto Sans"/>
          <w:spacing w:val="0"/>
        </w:rPr>
        <w:t xml:space="preserve">The Investment Manager is </w:t>
      </w:r>
      <w:r w:rsidR="00AC47D2">
        <w:rPr>
          <w:rStyle w:val="P-SStyleCondensedby02pt"/>
          <w:rFonts w:ascii="Noto Sans" w:hAnsi="Noto Sans"/>
          <w:spacing w:val="0"/>
        </w:rPr>
        <w:t xml:space="preserve">no longer </w:t>
      </w:r>
      <w:r w:rsidR="008C2501" w:rsidRPr="00C7163F">
        <w:rPr>
          <w:rStyle w:val="P-SStyleCondensedby02pt"/>
          <w:rFonts w:ascii="Noto Sans" w:hAnsi="Noto Sans"/>
          <w:spacing w:val="0"/>
        </w:rPr>
        <w:t>permitted</w:t>
      </w:r>
      <w:r w:rsidR="00067C09" w:rsidRPr="00C7163F">
        <w:rPr>
          <w:rStyle w:val="P-SStyleCondensedby02pt"/>
          <w:rFonts w:ascii="Noto Sans" w:hAnsi="Noto Sans"/>
          <w:spacing w:val="0"/>
        </w:rPr>
        <w:t xml:space="preserve"> to </w:t>
      </w:r>
      <w:r w:rsidR="00A21238">
        <w:rPr>
          <w:rStyle w:val="P-SStyleCondensedby02pt"/>
          <w:rFonts w:ascii="Noto Sans" w:hAnsi="Noto Sans"/>
          <w:spacing w:val="0"/>
        </w:rPr>
        <w:t>invest in new</w:t>
      </w:r>
      <w:r w:rsidR="00D002AE">
        <w:rPr>
          <w:rStyle w:val="P-SStyleCondensedby02pt"/>
          <w:rFonts w:ascii="Noto Sans" w:hAnsi="Noto Sans"/>
          <w:spacing w:val="0"/>
        </w:rPr>
        <w:t xml:space="preserve"> </w:t>
      </w:r>
      <w:r w:rsidR="00067C09" w:rsidRPr="00C7163F">
        <w:rPr>
          <w:rStyle w:val="P-SStyleCondensedby02pt"/>
          <w:rFonts w:ascii="Noto Sans" w:hAnsi="Noto Sans"/>
          <w:spacing w:val="0"/>
        </w:rPr>
        <w:t xml:space="preserve">illiquid investments </w:t>
      </w:r>
      <w:r w:rsidR="00AC47D2">
        <w:rPr>
          <w:rStyle w:val="P-SStyleCondensedby02pt"/>
          <w:rFonts w:ascii="Noto Sans" w:hAnsi="Noto Sans"/>
          <w:spacing w:val="0"/>
        </w:rPr>
        <w:t xml:space="preserve">within the Growth portfolio </w:t>
      </w:r>
      <w:r w:rsidR="00067C09" w:rsidRPr="00C7163F">
        <w:rPr>
          <w:rStyle w:val="P-SStyleCondensedby02pt"/>
          <w:rFonts w:ascii="Noto Sans" w:hAnsi="Noto Sans"/>
          <w:spacing w:val="0"/>
        </w:rPr>
        <w:t xml:space="preserve">(as defined in the </w:t>
      </w:r>
      <w:r w:rsidR="004F77EF" w:rsidRPr="004F77EF">
        <w:rPr>
          <w:rStyle w:val="P-SStyleCondensedby02pt"/>
          <w:rFonts w:ascii="Noto Sans" w:hAnsi="Noto Sans"/>
          <w:spacing w:val="0"/>
        </w:rPr>
        <w:t>Fiduciary</w:t>
      </w:r>
      <w:r w:rsidR="00067C09" w:rsidRPr="00C7163F">
        <w:rPr>
          <w:rStyle w:val="P-SStyleCondensedby02pt"/>
          <w:rFonts w:ascii="Noto Sans" w:hAnsi="Noto Sans"/>
          <w:spacing w:val="0"/>
        </w:rPr>
        <w:t xml:space="preserve"> Management Agreement)</w:t>
      </w:r>
      <w:r w:rsidR="00AC47D2">
        <w:rPr>
          <w:rStyle w:val="P-SStyleCondensedby02pt"/>
          <w:rFonts w:ascii="Noto Sans" w:hAnsi="Noto Sans"/>
          <w:spacing w:val="0"/>
        </w:rPr>
        <w:t>.</w:t>
      </w:r>
      <w:r w:rsidR="00D002AE">
        <w:rPr>
          <w:rStyle w:val="P-SStyleCondensedby02pt"/>
          <w:rFonts w:ascii="Noto Sans" w:hAnsi="Noto Sans"/>
          <w:spacing w:val="0"/>
        </w:rPr>
        <w:t xml:space="preserve"> </w:t>
      </w:r>
      <w:r w:rsidR="00AC47D2">
        <w:rPr>
          <w:rStyle w:val="P-SStyleCondensedby02pt"/>
          <w:rFonts w:ascii="Noto Sans" w:hAnsi="Noto Sans"/>
          <w:spacing w:val="0"/>
        </w:rPr>
        <w:t>T</w:t>
      </w:r>
      <w:r w:rsidR="008C2501" w:rsidRPr="00C7163F">
        <w:rPr>
          <w:rStyle w:val="P-SStyleCondensedby02pt"/>
          <w:rFonts w:ascii="Noto Sans" w:hAnsi="Noto Sans"/>
          <w:spacing w:val="0"/>
        </w:rPr>
        <w:t>he Trustee acknowledge</w:t>
      </w:r>
      <w:r w:rsidR="00EA2CC6" w:rsidRPr="00C7163F">
        <w:rPr>
          <w:rStyle w:val="P-SStyleCondensedby02pt"/>
          <w:rFonts w:ascii="Noto Sans" w:hAnsi="Noto Sans"/>
          <w:spacing w:val="0"/>
        </w:rPr>
        <w:t>s</w:t>
      </w:r>
      <w:r w:rsidR="00067C09" w:rsidRPr="00C7163F">
        <w:rPr>
          <w:rStyle w:val="P-SStyleCondensedby02pt"/>
          <w:rFonts w:ascii="Noto Sans" w:hAnsi="Noto Sans"/>
          <w:spacing w:val="0"/>
        </w:rPr>
        <w:t xml:space="preserve"> </w:t>
      </w:r>
      <w:r w:rsidR="00AC47D2">
        <w:rPr>
          <w:rStyle w:val="P-SStyleCondensedby02pt"/>
          <w:rFonts w:ascii="Noto Sans" w:hAnsi="Noto Sans"/>
          <w:spacing w:val="0"/>
        </w:rPr>
        <w:t xml:space="preserve">the illiquid investments previously held are in the process of being sold down, but some of the funds will </w:t>
      </w:r>
      <w:r w:rsidR="00067C09" w:rsidRPr="00C7163F">
        <w:rPr>
          <w:rStyle w:val="P-SStyleCondensedby02pt"/>
          <w:rFonts w:ascii="Noto Sans" w:hAnsi="Noto Sans"/>
          <w:spacing w:val="0"/>
        </w:rPr>
        <w:t>take additional time to realise.</w:t>
      </w:r>
      <w:r w:rsidR="008C2501" w:rsidRPr="00C7163F">
        <w:rPr>
          <w:rStyle w:val="P-SStyleCondensedby02pt"/>
          <w:rFonts w:ascii="Noto Sans" w:hAnsi="Noto Sans"/>
          <w:spacing w:val="0"/>
        </w:rPr>
        <w:t xml:space="preserve"> </w:t>
      </w:r>
    </w:p>
    <w:p w14:paraId="12620604" w14:textId="1E208169" w:rsidR="00762A78" w:rsidRPr="00C7163F" w:rsidRDefault="00762A78" w:rsidP="00C7163F">
      <w:pPr>
        <w:pStyle w:val="P-SolveHeading2"/>
        <w:spacing w:before="200"/>
        <w:rPr>
          <w:rFonts w:ascii="Schroders Circular TT" w:hAnsi="Schroders Circular TT"/>
          <w:color w:val="0070C0"/>
          <w:sz w:val="28"/>
        </w:rPr>
      </w:pPr>
      <w:r w:rsidRPr="00C7163F">
        <w:rPr>
          <w:rFonts w:ascii="Schroders Circular TT" w:hAnsi="Schroders Circular TT"/>
          <w:color w:val="0070C0"/>
          <w:sz w:val="28"/>
        </w:rPr>
        <w:t>Derivatives</w:t>
      </w:r>
    </w:p>
    <w:p w14:paraId="7D88599B" w14:textId="20EE69FC" w:rsidR="00473DAC" w:rsidRPr="00C7163F" w:rsidRDefault="00762A78" w:rsidP="001040E0">
      <w:pPr>
        <w:pStyle w:val="P-SolveBodyText"/>
        <w:rPr>
          <w:rFonts w:ascii="Noto Sans" w:hAnsi="Noto Sans"/>
          <w:color w:val="auto"/>
        </w:rPr>
      </w:pPr>
      <w:r w:rsidRPr="00C7163F">
        <w:rPr>
          <w:rFonts w:ascii="Noto Sans" w:hAnsi="Noto Sans"/>
          <w:color w:val="auto"/>
        </w:rPr>
        <w:t xml:space="preserve">The Trustee may enter into contracts with counterparties, including investment banks, in order to execute derivative transactions. The Trustee </w:t>
      </w:r>
      <w:r w:rsidRPr="00473DAC">
        <w:rPr>
          <w:rFonts w:ascii="Noto Sans" w:hAnsi="Noto Sans" w:cs="Noto Sans"/>
          <w:color w:val="auto"/>
        </w:rPr>
        <w:t>ha</w:t>
      </w:r>
      <w:r w:rsidR="00793EF8">
        <w:rPr>
          <w:rFonts w:ascii="Noto Sans" w:hAnsi="Noto Sans" w:cs="Noto Sans"/>
          <w:color w:val="auto"/>
        </w:rPr>
        <w:t>s</w:t>
      </w:r>
      <w:r w:rsidRPr="00C7163F">
        <w:rPr>
          <w:rFonts w:ascii="Noto Sans" w:hAnsi="Noto Sans"/>
          <w:color w:val="auto"/>
        </w:rPr>
        <w:t xml:space="preserve"> taken advice on the suitability of the contracts and have delegated responsibility to the Investment Manager to implement these instruments on its behalf. Derivative instruments are typically used for risk management purposes in the portfolio. </w:t>
      </w:r>
      <w:bookmarkStart w:id="14" w:name="_Toc321831903"/>
    </w:p>
    <w:p w14:paraId="6FC2C8CD" w14:textId="77777777" w:rsidR="00A5503A" w:rsidRPr="00C7163F" w:rsidRDefault="00A5503A" w:rsidP="00C7163F">
      <w:pPr>
        <w:pStyle w:val="P-SolveHeading2"/>
        <w:spacing w:before="200"/>
        <w:rPr>
          <w:rFonts w:ascii="Schroders Circular TT" w:hAnsi="Schroders Circular TT"/>
          <w:color w:val="0070C0"/>
          <w:sz w:val="28"/>
        </w:rPr>
      </w:pPr>
      <w:bookmarkStart w:id="15" w:name="_Toc457226102"/>
      <w:bookmarkEnd w:id="14"/>
      <w:r w:rsidRPr="00C7163F">
        <w:rPr>
          <w:rFonts w:ascii="Schroders Circular TT" w:hAnsi="Schroders Circular TT"/>
          <w:color w:val="0070C0"/>
          <w:sz w:val="28"/>
        </w:rPr>
        <w:t>Financially material investment considerations</w:t>
      </w:r>
    </w:p>
    <w:p w14:paraId="6563CB72" w14:textId="0913BC16" w:rsidR="00425541" w:rsidRDefault="00A5503A" w:rsidP="00A5503A">
      <w:pPr>
        <w:pStyle w:val="P-SolveBodyText"/>
        <w:rPr>
          <w:rFonts w:ascii="Noto Sans" w:hAnsi="Noto Sans" w:cs="Noto Sans"/>
        </w:rPr>
      </w:pPr>
      <w:r w:rsidRPr="00C7163F">
        <w:rPr>
          <w:rFonts w:ascii="Noto Sans" w:hAnsi="Noto Sans"/>
        </w:rPr>
        <w:t xml:space="preserve">These considerations which include the </w:t>
      </w:r>
      <w:r w:rsidR="008C2501" w:rsidRPr="00C7163F">
        <w:rPr>
          <w:rFonts w:ascii="Noto Sans" w:hAnsi="Noto Sans"/>
        </w:rPr>
        <w:t>below</w:t>
      </w:r>
      <w:r w:rsidRPr="00C7163F">
        <w:rPr>
          <w:rFonts w:ascii="Noto Sans" w:hAnsi="Noto Sans"/>
        </w:rPr>
        <w:t xml:space="preserve"> “Risks” can affect the long-term financial performance of investments and can (but do not have to) include environmental, social and governance factors (otherwise known as </w:t>
      </w:r>
      <w:r w:rsidR="00A45201" w:rsidRPr="00C7163F">
        <w:rPr>
          <w:rFonts w:ascii="Noto Sans" w:hAnsi="Noto Sans"/>
        </w:rPr>
        <w:t>“</w:t>
      </w:r>
      <w:r w:rsidRPr="00C7163F">
        <w:rPr>
          <w:rFonts w:ascii="Noto Sans" w:hAnsi="Noto Sans"/>
        </w:rPr>
        <w:t>ESG</w:t>
      </w:r>
      <w:r w:rsidR="00A45201" w:rsidRPr="00C7163F">
        <w:rPr>
          <w:rFonts w:ascii="Noto Sans" w:hAnsi="Noto Sans"/>
        </w:rPr>
        <w:t>”</w:t>
      </w:r>
      <w:r w:rsidRPr="00C7163F">
        <w:rPr>
          <w:rFonts w:ascii="Noto Sans" w:hAnsi="Noto Sans"/>
        </w:rPr>
        <w:t xml:space="preserve">) where relevant. </w:t>
      </w:r>
      <w:r w:rsidR="00425541" w:rsidRPr="00C7163F">
        <w:rPr>
          <w:rFonts w:ascii="Noto Sans" w:hAnsi="Noto Sans"/>
        </w:rPr>
        <w:t xml:space="preserve">All references to ESG also include climate change. </w:t>
      </w:r>
    </w:p>
    <w:p w14:paraId="55234865" w14:textId="32B661D7" w:rsidR="00AC7AF2" w:rsidRPr="005031A7" w:rsidRDefault="00AC7AF2" w:rsidP="00A5503A">
      <w:pPr>
        <w:pStyle w:val="P-SolveBodyText"/>
        <w:rPr>
          <w:rFonts w:ascii="Noto Sans" w:hAnsi="Noto Sans" w:cs="Noto Sans"/>
        </w:rPr>
      </w:pPr>
      <w:r w:rsidRPr="00C7163F">
        <w:rPr>
          <w:rFonts w:ascii="Noto Sans" w:hAnsi="Noto Sans"/>
        </w:rPr>
        <w:t xml:space="preserve">The Trustee </w:t>
      </w:r>
      <w:r>
        <w:rPr>
          <w:rFonts w:ascii="Noto Sans" w:hAnsi="Noto Sans" w:cs="Noto Sans"/>
        </w:rPr>
        <w:t xml:space="preserve">recognises climate change as a systemic, long-term material financial risk to the value of the Scheme’s investments. The Trustee is supportive of the Paris Agreement and will aim to achieve a carbon neutral portfolio by 2050 or sooner. </w:t>
      </w:r>
    </w:p>
    <w:p w14:paraId="1E9E4D0C" w14:textId="7564AFBA" w:rsidR="00A5503A" w:rsidRPr="00C7163F" w:rsidRDefault="00A5503A" w:rsidP="00A5503A">
      <w:pPr>
        <w:pStyle w:val="P-SolveBodyText"/>
        <w:rPr>
          <w:rFonts w:ascii="Noto Sans" w:hAnsi="Noto Sans"/>
        </w:rPr>
      </w:pPr>
      <w:r w:rsidRPr="005031A7">
        <w:rPr>
          <w:rFonts w:ascii="Noto Sans" w:hAnsi="Noto Sans" w:cs="Noto Sans"/>
        </w:rPr>
        <w:t>The Trustee</w:t>
      </w:r>
      <w:r w:rsidR="004A7501">
        <w:rPr>
          <w:rFonts w:ascii="Noto Sans" w:hAnsi="Noto Sans" w:cs="Noto Sans"/>
        </w:rPr>
        <w:t>’s</w:t>
      </w:r>
      <w:r w:rsidR="00425541" w:rsidRPr="005031A7">
        <w:rPr>
          <w:rFonts w:ascii="Noto Sans" w:hAnsi="Noto Sans" w:cs="Noto Sans"/>
        </w:rPr>
        <w:t xml:space="preserve"> policy is to </w:t>
      </w:r>
      <w:r w:rsidRPr="005031A7">
        <w:rPr>
          <w:rFonts w:ascii="Noto Sans" w:hAnsi="Noto Sans" w:cs="Noto Sans"/>
        </w:rPr>
        <w:t>delegate</w:t>
      </w:r>
      <w:r w:rsidRPr="00C7163F">
        <w:rPr>
          <w:rFonts w:ascii="Noto Sans" w:hAnsi="Noto Sans"/>
        </w:rPr>
        <w:t xml:space="preserve"> consideration of financially material factors</w:t>
      </w:r>
      <w:r w:rsidR="00425541" w:rsidRPr="005031A7">
        <w:rPr>
          <w:rFonts w:ascii="Noto Sans" w:hAnsi="Noto Sans" w:cs="Noto Sans"/>
        </w:rPr>
        <w:t>, including ESG</w:t>
      </w:r>
      <w:r w:rsidRPr="00C7163F">
        <w:rPr>
          <w:rFonts w:ascii="Noto Sans" w:hAnsi="Noto Sans"/>
        </w:rPr>
        <w:t xml:space="preserve"> to the Investment Manager who considers these when constructing the portfolio, including looking at Underlying Managers. All references to ESG relate to financial factors only. </w:t>
      </w:r>
      <w:r w:rsidR="00425541" w:rsidRPr="00473DAC">
        <w:rPr>
          <w:rFonts w:ascii="Noto Sans" w:hAnsi="Noto Sans" w:cs="Noto Sans"/>
        </w:rPr>
        <w:t>As part of their ongoing monitoring, the Trustee reviews some key metrics on a regular basis that are provided by the Investment Manager covering ESG which enable them to engage with the Investment Manager and understand the impact of ESG on the portfolio.</w:t>
      </w:r>
    </w:p>
    <w:p w14:paraId="79A9C72F" w14:textId="19D444E8" w:rsidR="00B379A5" w:rsidRPr="00C7163F" w:rsidRDefault="00A5503A" w:rsidP="00A5503A">
      <w:pPr>
        <w:pStyle w:val="P-SolveBodyText"/>
        <w:rPr>
          <w:rFonts w:ascii="Noto Sans" w:hAnsi="Noto Sans"/>
        </w:rPr>
      </w:pPr>
      <w:r w:rsidRPr="00C7163F">
        <w:rPr>
          <w:rFonts w:ascii="Noto Sans" w:hAnsi="Noto Sans"/>
        </w:rPr>
        <w:t>ESG factors and stewardship are considered, in the context of long term performance, by the Investment Manager as part of the manager selection criteria. This review occurs before they are approved for investment in the portfolio. Once an Underlying Manager is appointed, the Investment Manager monitors</w:t>
      </w:r>
      <w:r w:rsidR="008C2501" w:rsidRPr="00C7163F">
        <w:rPr>
          <w:rFonts w:ascii="Noto Sans" w:hAnsi="Noto Sans"/>
        </w:rPr>
        <w:t xml:space="preserve"> the</w:t>
      </w:r>
      <w:r w:rsidRPr="00C7163F">
        <w:rPr>
          <w:rFonts w:ascii="Noto Sans" w:hAnsi="Noto Sans"/>
        </w:rPr>
        <w:t xml:space="preserve"> </w:t>
      </w:r>
      <w:r w:rsidR="00036CF0" w:rsidRPr="00C7163F">
        <w:rPr>
          <w:rFonts w:ascii="Noto Sans" w:hAnsi="Noto Sans"/>
        </w:rPr>
        <w:t>ESG implementation</w:t>
      </w:r>
      <w:r w:rsidR="008C2501" w:rsidRPr="00C7163F">
        <w:rPr>
          <w:rFonts w:ascii="Noto Sans" w:hAnsi="Noto Sans"/>
        </w:rPr>
        <w:t xml:space="preserve"> </w:t>
      </w:r>
      <w:r w:rsidRPr="00C7163F">
        <w:rPr>
          <w:rFonts w:ascii="Noto Sans" w:hAnsi="Noto Sans"/>
        </w:rPr>
        <w:t>and ongoing compliance with other factors,</w:t>
      </w:r>
      <w:r w:rsidR="0060260A" w:rsidRPr="00C7163F">
        <w:rPr>
          <w:rFonts w:ascii="Noto Sans" w:hAnsi="Noto Sans"/>
        </w:rPr>
        <w:t xml:space="preserve"> </w:t>
      </w:r>
      <w:r w:rsidR="0060260A" w:rsidRPr="00473DAC">
        <w:rPr>
          <w:rFonts w:ascii="Noto Sans" w:hAnsi="Noto Sans" w:cs="Noto Sans"/>
        </w:rPr>
        <w:t>such as</w:t>
      </w:r>
      <w:r w:rsidRPr="00C7163F">
        <w:rPr>
          <w:rFonts w:ascii="Noto Sans" w:hAnsi="Noto Sans"/>
        </w:rPr>
        <w:t xml:space="preserve"> stewardship</w:t>
      </w:r>
      <w:r w:rsidR="0060260A" w:rsidRPr="00473DAC">
        <w:rPr>
          <w:rFonts w:ascii="Noto Sans" w:hAnsi="Noto Sans" w:cs="Noto Sans"/>
        </w:rPr>
        <w:t>,</w:t>
      </w:r>
      <w:r w:rsidRPr="00C7163F">
        <w:rPr>
          <w:rFonts w:ascii="Noto Sans" w:hAnsi="Noto Sans"/>
        </w:rPr>
        <w:t xml:space="preserve"> as a part of overall engagement.</w:t>
      </w:r>
    </w:p>
    <w:p w14:paraId="0BF4F291" w14:textId="47699B12" w:rsidR="00D12498" w:rsidRPr="00C7163F" w:rsidRDefault="00D12498" w:rsidP="00C7163F">
      <w:pPr>
        <w:pStyle w:val="P-SolveHeading2"/>
        <w:spacing w:before="200"/>
        <w:rPr>
          <w:rFonts w:ascii="Schroders Circular TT" w:hAnsi="Schroders Circular TT"/>
          <w:color w:val="0070C0"/>
          <w:sz w:val="28"/>
        </w:rPr>
      </w:pPr>
      <w:r w:rsidRPr="00C7163F">
        <w:rPr>
          <w:rFonts w:ascii="Schroders Circular TT" w:hAnsi="Schroders Circular TT"/>
          <w:color w:val="0070C0"/>
          <w:sz w:val="28"/>
        </w:rPr>
        <w:t>Risks</w:t>
      </w:r>
    </w:p>
    <w:p w14:paraId="4F0A5527" w14:textId="02FB693D" w:rsidR="00D12498" w:rsidRPr="00C7163F" w:rsidRDefault="00D12498" w:rsidP="00D12498">
      <w:pPr>
        <w:pStyle w:val="P-SolveBodyText"/>
        <w:rPr>
          <w:rStyle w:val="P-SStyleCondensedby02pt"/>
          <w:rFonts w:ascii="Noto Sans" w:hAnsi="Noto Sans"/>
          <w:spacing w:val="0"/>
        </w:rPr>
      </w:pPr>
      <w:r w:rsidRPr="00C7163F">
        <w:rPr>
          <w:rStyle w:val="P-SStyleCondensedby02pt"/>
          <w:rFonts w:ascii="Noto Sans" w:hAnsi="Noto Sans"/>
          <w:spacing w:val="0"/>
        </w:rPr>
        <w:t xml:space="preserve">The Trustee </w:t>
      </w:r>
      <w:r w:rsidRPr="005031A7">
        <w:rPr>
          <w:rStyle w:val="P-SStyleCondensedby02pt"/>
          <w:rFonts w:ascii="Noto Sans" w:hAnsi="Noto Sans" w:cs="Noto Sans"/>
          <w:spacing w:val="0"/>
        </w:rPr>
        <w:t>recognise</w:t>
      </w:r>
      <w:r w:rsidR="004F77EF">
        <w:rPr>
          <w:rStyle w:val="P-SStyleCondensedby02pt"/>
          <w:rFonts w:ascii="Noto Sans" w:hAnsi="Noto Sans" w:cs="Noto Sans"/>
          <w:spacing w:val="0"/>
        </w:rPr>
        <w:t>s</w:t>
      </w:r>
      <w:r w:rsidRPr="00C7163F">
        <w:rPr>
          <w:rStyle w:val="P-SStyleCondensedby02pt"/>
          <w:rFonts w:ascii="Noto Sans" w:hAnsi="Noto Sans"/>
          <w:spacing w:val="0"/>
        </w:rPr>
        <w:t xml:space="preserve"> a number of risks involved in the investment of the assets of the Scheme. These risks, and how they are measured and managed, include:</w:t>
      </w:r>
    </w:p>
    <w:p w14:paraId="5A71A703" w14:textId="77777777"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Funding and asset/liability mismatch risk</w:t>
      </w:r>
      <w:r w:rsidRPr="00C7163F">
        <w:rPr>
          <w:rStyle w:val="P-SStyleCondensedby02pt"/>
          <w:rFonts w:ascii="Noto Sans" w:hAnsi="Noto Sans"/>
          <w:spacing w:val="0"/>
        </w:rPr>
        <w:t xml:space="preserve"> – the risk that the funding level is adversely affected due to a mismatch between the assets and liabilities.  This risk is managed in the following ways:</w:t>
      </w:r>
    </w:p>
    <w:p w14:paraId="552102DE" w14:textId="004CE7C8"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 xml:space="preserve">A liability benchmark or ’LB’ is used as a proxy for the liabilities in order to measure the approximate changes in the liabilities (due to changes to the relevant gilt yields only).  The Trustee monitor this change relative to the change in asset values on a quarterly basis.  The LB is reviewed following each </w:t>
      </w:r>
      <w:r w:rsidRPr="00C7163F">
        <w:rPr>
          <w:rStyle w:val="P-SStyleCondensedby02pt"/>
          <w:rFonts w:ascii="Noto Sans" w:hAnsi="Noto Sans"/>
          <w:spacing w:val="0"/>
        </w:rPr>
        <w:lastRenderedPageBreak/>
        <w:t>actuarial review, or when significant market</w:t>
      </w:r>
      <w:r w:rsidR="008C2501" w:rsidRPr="00C7163F">
        <w:rPr>
          <w:rStyle w:val="P-SStyleCondensedby02pt"/>
          <w:rFonts w:ascii="Noto Sans" w:hAnsi="Noto Sans"/>
          <w:spacing w:val="0"/>
        </w:rPr>
        <w:t xml:space="preserve"> or Scheme</w:t>
      </w:r>
      <w:r w:rsidRPr="00C7163F">
        <w:rPr>
          <w:rStyle w:val="P-SStyleCondensedby02pt"/>
          <w:rFonts w:ascii="Noto Sans" w:hAnsi="Noto Sans"/>
          <w:spacing w:val="0"/>
        </w:rPr>
        <w:t xml:space="preserve"> events (e.g. a significant change in inflation expectations) imply that an amendment </w:t>
      </w:r>
      <w:r w:rsidRPr="005031A7">
        <w:rPr>
          <w:rStyle w:val="P-SStyleCondensedby02pt"/>
          <w:rFonts w:ascii="Noto Sans" w:hAnsi="Noto Sans" w:cs="Noto Sans"/>
          <w:spacing w:val="0"/>
        </w:rPr>
        <w:t>may</w:t>
      </w:r>
      <w:r w:rsidR="004666A9" w:rsidRPr="005031A7">
        <w:rPr>
          <w:rStyle w:val="P-SStyleCondensedby02pt"/>
          <w:rFonts w:ascii="Noto Sans" w:hAnsi="Noto Sans" w:cs="Noto Sans"/>
          <w:spacing w:val="0"/>
        </w:rPr>
        <w:t xml:space="preserve"> </w:t>
      </w:r>
      <w:r w:rsidRPr="005031A7">
        <w:rPr>
          <w:rStyle w:val="P-SStyleCondensedby02pt"/>
          <w:rFonts w:ascii="Noto Sans" w:hAnsi="Noto Sans" w:cs="Noto Sans"/>
          <w:spacing w:val="0"/>
        </w:rPr>
        <w:t>be</w:t>
      </w:r>
      <w:r w:rsidRPr="00C7163F">
        <w:rPr>
          <w:rStyle w:val="P-SStyleCondensedby02pt"/>
          <w:rFonts w:ascii="Noto Sans" w:hAnsi="Noto Sans"/>
          <w:spacing w:val="0"/>
        </w:rPr>
        <w:t xml:space="preserve"> appropriate.</w:t>
      </w:r>
    </w:p>
    <w:p w14:paraId="6E77E440" w14:textId="3D9CBD82"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The Trustee also recognise</w:t>
      </w:r>
      <w:r w:rsidR="00E67DCB" w:rsidRPr="00C7163F">
        <w:rPr>
          <w:rStyle w:val="P-SStyleCondensedby02pt"/>
          <w:rFonts w:ascii="Noto Sans" w:hAnsi="Noto Sans"/>
          <w:spacing w:val="0"/>
        </w:rPr>
        <w:t>s</w:t>
      </w:r>
      <w:r w:rsidRPr="00C7163F">
        <w:rPr>
          <w:rStyle w:val="P-SStyleCondensedby02pt"/>
          <w:rFonts w:ascii="Noto Sans" w:hAnsi="Noto Sans"/>
          <w:spacing w:val="0"/>
        </w:rPr>
        <w:t xml:space="preserve"> the risk of a negative impact on the funding level due to changes in the actuarial assumptions used to calculate the liabilities and variation in experience.  This is managed by aiming for a higher overall investment return than implied by the liabilit</w:t>
      </w:r>
      <w:r w:rsidR="008C2501" w:rsidRPr="00C7163F">
        <w:rPr>
          <w:rStyle w:val="P-SStyleCondensedby02pt"/>
          <w:rFonts w:ascii="Noto Sans" w:hAnsi="Noto Sans"/>
          <w:spacing w:val="0"/>
        </w:rPr>
        <w:t>y discount rate</w:t>
      </w:r>
      <w:r w:rsidRPr="00C7163F">
        <w:rPr>
          <w:rStyle w:val="P-SStyleCondensedby02pt"/>
          <w:rFonts w:ascii="Noto Sans" w:hAnsi="Noto Sans"/>
          <w:spacing w:val="0"/>
        </w:rPr>
        <w:t>.</w:t>
      </w:r>
    </w:p>
    <w:p w14:paraId="087C50C8" w14:textId="0F908AF0"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When setting and reviewing investment strategy, the Trustee examine</w:t>
      </w:r>
      <w:r w:rsidR="00E67DCB" w:rsidRPr="00C7163F">
        <w:rPr>
          <w:rStyle w:val="P-SStyleCondensedby02pt"/>
          <w:rFonts w:ascii="Noto Sans" w:hAnsi="Noto Sans"/>
          <w:spacing w:val="0"/>
        </w:rPr>
        <w:t>s</w:t>
      </w:r>
      <w:r w:rsidRPr="00C7163F">
        <w:rPr>
          <w:rStyle w:val="P-SStyleCondensedby02pt"/>
          <w:rFonts w:ascii="Noto Sans" w:hAnsi="Noto Sans"/>
          <w:spacing w:val="0"/>
        </w:rPr>
        <w:t xml:space="preserve"> how the investment strategy impacts on downside risk. Downside risk of the investment strategy is also measured by reference to the LB and can therefore also be assessed as part of the quarterly review process. </w:t>
      </w:r>
    </w:p>
    <w:p w14:paraId="2433C0EE" w14:textId="18D32E6A"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 xml:space="preserve">This risk is also monitored through regular actuarial and investment reviews including monthly portfolio updates.  </w:t>
      </w:r>
    </w:p>
    <w:p w14:paraId="707D2DBE" w14:textId="76345DB5"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Underperformance risk</w:t>
      </w:r>
      <w:r w:rsidRPr="00C7163F">
        <w:rPr>
          <w:rStyle w:val="P-SStyleCondensedby02pt"/>
          <w:rFonts w:ascii="Noto Sans" w:hAnsi="Noto Sans"/>
          <w:spacing w:val="0"/>
        </w:rPr>
        <w:t xml:space="preserve"> – the risk of underperforming the benchmarks and objectives set by the Trustee. This risk is minimised using the following techniques:</w:t>
      </w:r>
    </w:p>
    <w:p w14:paraId="0D50D693" w14:textId="77777777"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Appropriate diversification across asset classes, within sectors and between individual stocks to minimise the effect of a particular stock or sector performing badly.</w:t>
      </w:r>
    </w:p>
    <w:p w14:paraId="71448550" w14:textId="77777777"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 xml:space="preserve">The use of instruments and strategies designed to control the extent of downside exposure. </w:t>
      </w:r>
    </w:p>
    <w:p w14:paraId="6CBB4BF1" w14:textId="256305F5"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The selective use of active management when appropriate given market conditions, the asset class considered and where the benefits</w:t>
      </w:r>
      <w:r w:rsidR="008C2501" w:rsidRPr="00C7163F">
        <w:rPr>
          <w:rStyle w:val="P-SStyleCondensedby02pt"/>
          <w:rFonts w:ascii="Noto Sans" w:hAnsi="Noto Sans"/>
          <w:spacing w:val="0"/>
        </w:rPr>
        <w:t xml:space="preserve"> (risk and/or return)</w:t>
      </w:r>
      <w:r w:rsidRPr="00C7163F">
        <w:rPr>
          <w:rStyle w:val="P-SStyleCondensedby02pt"/>
          <w:rFonts w:ascii="Noto Sans" w:hAnsi="Noto Sans"/>
          <w:spacing w:val="0"/>
        </w:rPr>
        <w:t xml:space="preserve"> are expected to outweigh the additional costs/fees.</w:t>
      </w:r>
    </w:p>
    <w:p w14:paraId="685D3C62" w14:textId="02D93BFE" w:rsidR="00D12498" w:rsidRPr="00C7163F" w:rsidRDefault="00D12498" w:rsidP="00A21238">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Regular monitoring of the managers’ performance, processes and capabilities with respect to their mandate and by the diversification across multiple Underlying Managers by the Investment Manager.</w:t>
      </w:r>
    </w:p>
    <w:p w14:paraId="5BE261BA" w14:textId="1F158BBE"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Cash flow risk –</w:t>
      </w:r>
      <w:r w:rsidRPr="00C7163F">
        <w:rPr>
          <w:rStyle w:val="P-SStyleCondensedby02pt"/>
          <w:rFonts w:ascii="Noto Sans" w:hAnsi="Noto Sans"/>
          <w:spacing w:val="0"/>
        </w:rPr>
        <w:t xml:space="preserve"> addressed through the monitoring of the cash flow requirement of the Scheme to control the timing of any investment/disinvestment of assets.</w:t>
      </w:r>
    </w:p>
    <w:p w14:paraId="62E84A8A" w14:textId="39047449" w:rsidR="008C2501" w:rsidRPr="00C7163F" w:rsidRDefault="008C2501" w:rsidP="00C7163F">
      <w:pPr>
        <w:pStyle w:val="P-SolveBodyText"/>
        <w:numPr>
          <w:ilvl w:val="1"/>
          <w:numId w:val="18"/>
        </w:numPr>
        <w:rPr>
          <w:rStyle w:val="P-SStyleCondensedby02pt"/>
          <w:rFonts w:ascii="Noto Sans" w:hAnsi="Noto Sans"/>
          <w:spacing w:val="0"/>
        </w:rPr>
      </w:pPr>
      <w:r w:rsidRPr="00C7163F">
        <w:rPr>
          <w:rStyle w:val="P-SStyleCondensedby02pt"/>
          <w:rFonts w:ascii="Noto Sans" w:hAnsi="Noto Sans"/>
          <w:spacing w:val="0"/>
        </w:rPr>
        <w:t>The Trustee has also put in place a dedicated cashflow matching portfolio that is intended to mitigate the risk caused by significantly high levels of benefit payments.</w:t>
      </w:r>
    </w:p>
    <w:p w14:paraId="16CC0C84" w14:textId="77777777"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Concentration risk</w:t>
      </w:r>
      <w:r w:rsidRPr="00C7163F">
        <w:rPr>
          <w:rStyle w:val="P-SStyleCondensedby02pt"/>
          <w:rFonts w:ascii="Noto Sans" w:hAnsi="Noto Sans"/>
          <w:spacing w:val="0"/>
        </w:rPr>
        <w:t xml:space="preserve"> – the risk of an adverse influence on investment values from the concentration of holdings is reduced by the diversification of the assets. </w:t>
      </w:r>
    </w:p>
    <w:p w14:paraId="2D08E5AB" w14:textId="7A063B29"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Counterparty risk</w:t>
      </w:r>
      <w:r w:rsidRPr="00C7163F">
        <w:rPr>
          <w:rStyle w:val="P-SStyleCondensedby02pt"/>
          <w:rFonts w:ascii="Noto Sans" w:hAnsi="Noto Sans"/>
          <w:spacing w:val="0"/>
        </w:rPr>
        <w:t xml:space="preserve"> – the risk of a counterparty to an agreement not carrying out </w:t>
      </w:r>
      <w:r w:rsidR="004F77EF">
        <w:rPr>
          <w:rStyle w:val="P-SStyleCondensedby02pt"/>
          <w:rFonts w:ascii="Noto Sans" w:hAnsi="Noto Sans" w:cs="Noto Sans"/>
          <w:spacing w:val="0"/>
        </w:rPr>
        <w:t>their</w:t>
      </w:r>
      <w:r w:rsidRPr="00C7163F">
        <w:rPr>
          <w:rStyle w:val="P-SStyleCondensedby02pt"/>
          <w:rFonts w:ascii="Noto Sans" w:hAnsi="Noto Sans"/>
          <w:spacing w:val="0"/>
        </w:rPr>
        <w:t xml:space="preserve"> side of the deal. Where derivatives are used, the risk of counterparty default is reduced through the requirement in the relevant documentation that regular collateral or margin payments be made. It is also considered in the selection of counterparties and the incorporation of protection mechanisms in the documentation in the event of a downgrade in credit quality of an existing counterparty.</w:t>
      </w:r>
    </w:p>
    <w:p w14:paraId="495F9010" w14:textId="77777777" w:rsidR="00D12498" w:rsidRPr="00C7163F" w:rsidRDefault="00D12498" w:rsidP="00C7163F">
      <w:pPr>
        <w:pStyle w:val="P-SolveBodyText"/>
        <w:numPr>
          <w:ilvl w:val="0"/>
          <w:numId w:val="18"/>
        </w:numPr>
        <w:spacing w:beforeLines="100" w:before="240" w:afterLines="100" w:after="240"/>
        <w:rPr>
          <w:rStyle w:val="P-SStyleCondensedby02pt"/>
          <w:rFonts w:ascii="Noto Sans" w:hAnsi="Noto Sans"/>
          <w:spacing w:val="0"/>
        </w:rPr>
      </w:pPr>
      <w:r w:rsidRPr="00C7163F">
        <w:rPr>
          <w:rStyle w:val="P-SStyleCondensedby02pt"/>
          <w:rFonts w:ascii="Noto Sans" w:hAnsi="Noto Sans"/>
          <w:b/>
          <w:spacing w:val="0"/>
        </w:rPr>
        <w:t>Country risk</w:t>
      </w:r>
      <w:r w:rsidRPr="00C7163F">
        <w:rPr>
          <w:rStyle w:val="P-SStyleCondensedby02pt"/>
          <w:rFonts w:ascii="Noto Sans" w:hAnsi="Noto Sans"/>
          <w:spacing w:val="0"/>
        </w:rPr>
        <w:t xml:space="preserve"> – the risk of an adverse influence on investment values from political intervention is reduced by diversification of the assets across many countries.</w:t>
      </w:r>
    </w:p>
    <w:p w14:paraId="72267F77" w14:textId="371A71F9" w:rsidR="00D12498" w:rsidRPr="00C7163F" w:rsidRDefault="00D12498" w:rsidP="00C7163F">
      <w:pPr>
        <w:pStyle w:val="StyleStyleHeading1SectionHeadingHR1e1e1BoldLinespacing1"/>
        <w:numPr>
          <w:ilvl w:val="0"/>
          <w:numId w:val="18"/>
        </w:numPr>
        <w:spacing w:beforeLines="100" w:before="240" w:afterLines="100" w:after="240" w:line="300" w:lineRule="exact"/>
        <w:jc w:val="both"/>
        <w:rPr>
          <w:rFonts w:ascii="Noto Sans" w:hAnsi="Noto Sans"/>
          <w:b/>
          <w:sz w:val="21"/>
        </w:rPr>
      </w:pPr>
      <w:r w:rsidRPr="00C7163F">
        <w:rPr>
          <w:rFonts w:ascii="Noto Sans" w:hAnsi="Noto Sans"/>
          <w:b/>
          <w:sz w:val="20"/>
        </w:rPr>
        <w:t xml:space="preserve">Currency risk </w:t>
      </w:r>
      <w:r w:rsidRPr="00C7163F">
        <w:rPr>
          <w:rFonts w:ascii="Noto Sans" w:hAnsi="Noto Sans"/>
          <w:b/>
          <w:sz w:val="21"/>
        </w:rPr>
        <w:t xml:space="preserve">– </w:t>
      </w:r>
      <w:r w:rsidRPr="00C7163F">
        <w:rPr>
          <w:rStyle w:val="P-SStyleCondensedby02pt"/>
          <w:rFonts w:ascii="Noto Sans" w:hAnsi="Noto Sans"/>
          <w:color w:val="000000" w:themeColor="text1"/>
          <w:spacing w:val="0"/>
          <w:sz w:val="20"/>
        </w:rPr>
        <w:t>the risk that fluctuations in the value of overseas currencies affect the total return of the Scheme’s investments when compared to a Sterling benchmark. The Truste</w:t>
      </w:r>
      <w:r w:rsidR="00B53401" w:rsidRPr="00C7163F">
        <w:rPr>
          <w:rStyle w:val="P-SStyleCondensedby02pt"/>
          <w:rFonts w:ascii="Noto Sans" w:hAnsi="Noto Sans"/>
          <w:color w:val="000000" w:themeColor="text1"/>
          <w:spacing w:val="0"/>
          <w:sz w:val="20"/>
        </w:rPr>
        <w:t>e</w:t>
      </w:r>
      <w:r w:rsidRPr="00C7163F">
        <w:rPr>
          <w:rStyle w:val="P-SStyleCondensedby02pt"/>
          <w:rFonts w:ascii="Noto Sans" w:hAnsi="Noto Sans"/>
          <w:color w:val="000000" w:themeColor="text1"/>
          <w:spacing w:val="0"/>
          <w:sz w:val="20"/>
        </w:rPr>
        <w:t xml:space="preserve"> mitigate</w:t>
      </w:r>
      <w:r w:rsidR="008E6CAE" w:rsidRPr="00C7163F">
        <w:rPr>
          <w:rStyle w:val="P-SStyleCondensedby02pt"/>
          <w:rFonts w:ascii="Noto Sans" w:hAnsi="Noto Sans"/>
          <w:color w:val="000000" w:themeColor="text1"/>
          <w:spacing w:val="0"/>
          <w:sz w:val="20"/>
        </w:rPr>
        <w:t>s</w:t>
      </w:r>
      <w:r w:rsidRPr="00C7163F">
        <w:rPr>
          <w:rStyle w:val="P-SStyleCondensedby02pt"/>
          <w:rFonts w:ascii="Noto Sans" w:hAnsi="Noto Sans"/>
          <w:color w:val="000000" w:themeColor="text1"/>
          <w:spacing w:val="0"/>
          <w:sz w:val="20"/>
        </w:rPr>
        <w:t xml:space="preserve"> this risk by electing to allow the Investment Manager to use currency hedging.</w:t>
      </w:r>
      <w:r w:rsidRPr="00C7163F">
        <w:rPr>
          <w:rFonts w:ascii="Noto Sans" w:hAnsi="Noto Sans"/>
          <w:sz w:val="21"/>
        </w:rPr>
        <w:t xml:space="preserve"> </w:t>
      </w:r>
    </w:p>
    <w:p w14:paraId="49F4E746" w14:textId="77777777"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Default risk</w:t>
      </w:r>
      <w:r w:rsidRPr="00C7163F">
        <w:rPr>
          <w:rStyle w:val="P-SStyleCondensedby02pt"/>
          <w:rFonts w:ascii="Noto Sans" w:hAnsi="Noto Sans"/>
          <w:spacing w:val="0"/>
        </w:rPr>
        <w:t xml:space="preserve"> – the risk of income from assets not being paid when promised. This is addressed through restrictions for the Investment Manager and Underlying Managers, e.g. a minimum credit rating of the bonds they are allowed to buy and also a high proportion of the bonds held are government bonds which have little default risk.</w:t>
      </w:r>
    </w:p>
    <w:p w14:paraId="535949C3" w14:textId="7F643CE9"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 xml:space="preserve">ESG risk </w:t>
      </w:r>
      <w:r w:rsidRPr="00C7163F">
        <w:rPr>
          <w:rStyle w:val="P-SStyleCondensedby02pt"/>
          <w:rFonts w:ascii="Noto Sans" w:hAnsi="Noto Sans"/>
          <w:spacing w:val="0"/>
        </w:rPr>
        <w:t xml:space="preserve">– the risk of adverse performance due to ESG related factors including climate change. This is addressed by </w:t>
      </w:r>
      <w:r w:rsidR="00A5503A" w:rsidRPr="00C7163F">
        <w:rPr>
          <w:rStyle w:val="P-SStyleCondensedby02pt"/>
          <w:rFonts w:ascii="Noto Sans" w:hAnsi="Noto Sans"/>
          <w:spacing w:val="0"/>
        </w:rPr>
        <w:t xml:space="preserve">the Investment Manager’s </w:t>
      </w:r>
      <w:r w:rsidRPr="00C7163F">
        <w:rPr>
          <w:rStyle w:val="P-SStyleCondensedby02pt"/>
          <w:rFonts w:ascii="Noto Sans" w:hAnsi="Noto Sans"/>
          <w:spacing w:val="0"/>
        </w:rPr>
        <w:t xml:space="preserve">ESG assessment at the point of investment with Underlying </w:t>
      </w:r>
      <w:r w:rsidRPr="00C7163F">
        <w:rPr>
          <w:rStyle w:val="P-SStyleCondensedby02pt"/>
          <w:rFonts w:ascii="Noto Sans" w:hAnsi="Noto Sans"/>
          <w:spacing w:val="0"/>
        </w:rPr>
        <w:lastRenderedPageBreak/>
        <w:t>Managers.</w:t>
      </w:r>
      <w:r w:rsidR="00A5503A" w:rsidRPr="00C7163F">
        <w:rPr>
          <w:rStyle w:val="P-SStyleCondensedby02pt"/>
          <w:rFonts w:ascii="Noto Sans" w:hAnsi="Noto Sans"/>
          <w:spacing w:val="0"/>
        </w:rPr>
        <w:t xml:space="preserve"> A</w:t>
      </w:r>
      <w:r w:rsidRPr="00C7163F">
        <w:rPr>
          <w:rStyle w:val="P-SStyleCondensedby02pt"/>
          <w:rFonts w:ascii="Noto Sans" w:hAnsi="Noto Sans"/>
          <w:spacing w:val="0"/>
        </w:rPr>
        <w:t xml:space="preserve"> summary of the overall ESG characteristics</w:t>
      </w:r>
      <w:r w:rsidR="00136E41" w:rsidRPr="00C7163F">
        <w:rPr>
          <w:rStyle w:val="P-SStyleCondensedby02pt"/>
          <w:rFonts w:ascii="Noto Sans" w:hAnsi="Noto Sans"/>
          <w:spacing w:val="0"/>
        </w:rPr>
        <w:t xml:space="preserve"> </w:t>
      </w:r>
      <w:r w:rsidR="00136E41">
        <w:rPr>
          <w:rStyle w:val="P-SStyleCondensedby02pt"/>
          <w:rFonts w:ascii="Noto Sans" w:hAnsi="Noto Sans" w:cs="Noto Sans"/>
          <w:spacing w:val="0"/>
        </w:rPr>
        <w:t>including carbon metrics</w:t>
      </w:r>
      <w:r w:rsidRPr="00473DAC">
        <w:rPr>
          <w:rStyle w:val="P-SStyleCondensedby02pt"/>
          <w:rFonts w:ascii="Noto Sans" w:hAnsi="Noto Sans" w:cs="Noto Sans"/>
          <w:spacing w:val="0"/>
        </w:rPr>
        <w:t xml:space="preserve"> </w:t>
      </w:r>
      <w:r w:rsidR="00136E41">
        <w:rPr>
          <w:rStyle w:val="P-SStyleCondensedby02pt"/>
          <w:rFonts w:ascii="Noto Sans" w:hAnsi="Noto Sans" w:cs="Noto Sans"/>
          <w:spacing w:val="0"/>
        </w:rPr>
        <w:t>of</w:t>
      </w:r>
      <w:r w:rsidRPr="00C7163F">
        <w:rPr>
          <w:rStyle w:val="P-SStyleCondensedby02pt"/>
          <w:rFonts w:ascii="Noto Sans" w:hAnsi="Noto Sans"/>
          <w:spacing w:val="0"/>
        </w:rPr>
        <w:t xml:space="preserve"> the portfolio </w:t>
      </w:r>
      <w:r w:rsidR="00136E41">
        <w:rPr>
          <w:rStyle w:val="P-SStyleCondensedby02pt"/>
          <w:rFonts w:ascii="Noto Sans" w:hAnsi="Noto Sans" w:cs="Noto Sans"/>
          <w:spacing w:val="0"/>
        </w:rPr>
        <w:t xml:space="preserve">is included </w:t>
      </w:r>
      <w:r w:rsidRPr="00C7163F">
        <w:rPr>
          <w:rStyle w:val="P-SStyleCondensedby02pt"/>
          <w:rFonts w:ascii="Noto Sans" w:hAnsi="Noto Sans"/>
          <w:spacing w:val="0"/>
        </w:rPr>
        <w:t xml:space="preserve">in the quarterly governance report.  </w:t>
      </w:r>
    </w:p>
    <w:p w14:paraId="236F95CF" w14:textId="77777777"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Mismanagement risk</w:t>
      </w:r>
      <w:r w:rsidRPr="00C7163F">
        <w:rPr>
          <w:rStyle w:val="P-SStyleCondensedby02pt"/>
          <w:rFonts w:ascii="Noto Sans" w:hAnsi="Noto Sans"/>
          <w:spacing w:val="0"/>
        </w:rPr>
        <w:t xml:space="preserve"> – the risk of unsuitable investment activity by the Investment Manager. This is addressed in the agreement with the Investment Manager, and in turn by the Investment Manager with the Underlying Managers, which contain restrictions on the proportion and type of asset classes that the Investment Manager or Underlying Managers may invest in.</w:t>
      </w:r>
    </w:p>
    <w:p w14:paraId="0AD2E31F" w14:textId="1BEAC55B" w:rsidR="00D12498" w:rsidRPr="00C7163F"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Organisational risk</w:t>
      </w:r>
      <w:r w:rsidRPr="00C7163F">
        <w:rPr>
          <w:rStyle w:val="P-SStyleCondensedby02pt"/>
          <w:rFonts w:ascii="Noto Sans" w:hAnsi="Noto Sans"/>
          <w:spacing w:val="0"/>
        </w:rPr>
        <w:t xml:space="preserve"> – the risk of inadequate internal processes leading to problems for the Scheme. This is addressed through regular monitoring of the Investment Manager and Advisers by the Trustee, and of the Underlying Managers by the Investment Manager.</w:t>
      </w:r>
    </w:p>
    <w:p w14:paraId="575FC339" w14:textId="29136405" w:rsidR="00D12498" w:rsidRDefault="00D12498" w:rsidP="00C7163F">
      <w:pPr>
        <w:pStyle w:val="P-SolveBodyText"/>
        <w:numPr>
          <w:ilvl w:val="0"/>
          <w:numId w:val="18"/>
        </w:numPr>
        <w:rPr>
          <w:rStyle w:val="P-SStyleCondensedby02pt"/>
          <w:rFonts w:ascii="Noto Sans" w:hAnsi="Noto Sans"/>
          <w:spacing w:val="0"/>
        </w:rPr>
      </w:pPr>
      <w:r w:rsidRPr="00C7163F">
        <w:rPr>
          <w:rStyle w:val="P-SStyleCondensedby02pt"/>
          <w:rFonts w:ascii="Noto Sans" w:hAnsi="Noto Sans"/>
          <w:b/>
          <w:spacing w:val="0"/>
        </w:rPr>
        <w:t>Sponsor risk</w:t>
      </w:r>
      <w:r w:rsidRPr="00C7163F">
        <w:rPr>
          <w:rStyle w:val="P-SStyleCondensedby02pt"/>
          <w:rFonts w:ascii="Noto Sans" w:hAnsi="Noto Sans"/>
          <w:spacing w:val="0"/>
        </w:rPr>
        <w:t xml:space="preserve"> – the risk of the Sponsoring Employer ceasing to exist which, for reasons of prudence, has been taken into account when setting the asset allocation strategy.  The Trustee regularly review the covenant of the Sponsoring Employer.</w:t>
      </w:r>
    </w:p>
    <w:p w14:paraId="3051CE2F" w14:textId="340F44B7" w:rsidR="00EE731B" w:rsidRPr="00484C91" w:rsidRDefault="00EE731B" w:rsidP="00452609">
      <w:pPr>
        <w:pStyle w:val="P-SolveBodyText"/>
        <w:numPr>
          <w:ilvl w:val="0"/>
          <w:numId w:val="18"/>
        </w:numPr>
        <w:rPr>
          <w:rStyle w:val="P-SStyleCondensedby02pt"/>
          <w:rFonts w:ascii="Noto Sans" w:hAnsi="Noto Sans"/>
          <w:spacing w:val="0"/>
        </w:rPr>
      </w:pPr>
      <w:r>
        <w:rPr>
          <w:rStyle w:val="P-SStyleCondensedby02pt"/>
          <w:rFonts w:ascii="Noto Sans" w:hAnsi="Noto Sans"/>
          <w:b/>
          <w:spacing w:val="0"/>
        </w:rPr>
        <w:t>Liquidity risk -</w:t>
      </w:r>
      <w:r w:rsidRPr="00EE731B">
        <w:rPr>
          <w:rStyle w:val="P-SStyleCondensedby02pt"/>
          <w:rFonts w:ascii="Noto Sans" w:hAnsi="Noto Sans"/>
          <w:b/>
          <w:spacing w:val="0"/>
        </w:rPr>
        <w:t xml:space="preserve"> </w:t>
      </w:r>
      <w:r w:rsidRPr="00EE731B">
        <w:rPr>
          <w:rStyle w:val="P-SStyleCondensedby02pt"/>
          <w:rFonts w:ascii="Noto Sans" w:hAnsi="Noto Sans"/>
          <w:bCs/>
          <w:spacing w:val="0"/>
        </w:rPr>
        <w:t>the r</w:t>
      </w:r>
      <w:r w:rsidR="00452609">
        <w:rPr>
          <w:rStyle w:val="P-SStyleCondensedby02pt"/>
          <w:rFonts w:ascii="Noto Sans" w:hAnsi="Noto Sans"/>
          <w:bCs/>
          <w:spacing w:val="0"/>
        </w:rPr>
        <w:t xml:space="preserve">isk of being unable to sell an asset in a given size over a given period in order to meet Scheme objectives or pay benefits without adversely affecting the price of the asset. </w:t>
      </w:r>
      <w:r w:rsidRPr="00484C91">
        <w:rPr>
          <w:rStyle w:val="P-SStyleCondensedby02pt"/>
          <w:rFonts w:ascii="Noto Sans" w:hAnsi="Noto Sans"/>
          <w:spacing w:val="0"/>
        </w:rPr>
        <w:t>The Trustee define an Illiquid investment as an asset which:</w:t>
      </w:r>
    </w:p>
    <w:p w14:paraId="4D5FAB54" w14:textId="77777777" w:rsidR="00EE731B" w:rsidRDefault="00EE731B" w:rsidP="00EE731B">
      <w:pPr>
        <w:pStyle w:val="P-SolveBodyText"/>
        <w:numPr>
          <w:ilvl w:val="0"/>
          <w:numId w:val="20"/>
        </w:numPr>
        <w:ind w:left="1800"/>
        <w:rPr>
          <w:rStyle w:val="P-SStyleCondensedby02pt"/>
          <w:rFonts w:ascii="Noto Sans" w:hAnsi="Noto Sans"/>
        </w:rPr>
      </w:pPr>
      <w:r>
        <w:rPr>
          <w:rStyle w:val="P-SStyleCondensedby02pt"/>
          <w:rFonts w:ascii="Noto Sans" w:hAnsi="Noto Sans"/>
        </w:rPr>
        <w:t>cannot be realised within 1 month under standard trading conditions; or</w:t>
      </w:r>
    </w:p>
    <w:p w14:paraId="305D0758" w14:textId="506721D7" w:rsidR="00EE731B" w:rsidRPr="00EE731B" w:rsidRDefault="00EE731B" w:rsidP="00EE731B">
      <w:pPr>
        <w:pStyle w:val="P-SolveBodyText"/>
        <w:numPr>
          <w:ilvl w:val="0"/>
          <w:numId w:val="20"/>
        </w:numPr>
        <w:ind w:left="1800"/>
        <w:rPr>
          <w:rStyle w:val="P-SStyleCondensedby02pt"/>
          <w:rFonts w:ascii="Noto Sans" w:hAnsi="Noto Sans"/>
          <w:spacing w:val="0"/>
        </w:rPr>
      </w:pPr>
      <w:r>
        <w:rPr>
          <w:rStyle w:val="P-SStyleCondensedby02pt"/>
          <w:rFonts w:ascii="Noto Sans" w:hAnsi="Noto Sans"/>
        </w:rPr>
        <w:t>the Manager in its reasonable discretion deems to be illiquid.</w:t>
      </w:r>
    </w:p>
    <w:p w14:paraId="37BDF6A2" w14:textId="24E799C9" w:rsidR="00EE731B" w:rsidRPr="00452609" w:rsidRDefault="00452609" w:rsidP="00452609">
      <w:pPr>
        <w:pStyle w:val="P-SolveBodyText"/>
        <w:ind w:left="720"/>
        <w:rPr>
          <w:rStyle w:val="P-SStyleCondensedby02pt"/>
          <w:rFonts w:ascii="Noto Sans" w:hAnsi="Noto Sans"/>
        </w:rPr>
      </w:pPr>
      <w:r>
        <w:rPr>
          <w:rStyle w:val="P-SStyleCondensedby02pt"/>
          <w:rFonts w:ascii="Noto Sans" w:hAnsi="Noto Sans"/>
          <w:spacing w:val="0"/>
        </w:rPr>
        <w:t>The ‘Realisation of Investments’ section above details how the Trustee is managing this risk.</w:t>
      </w:r>
    </w:p>
    <w:p w14:paraId="69298DDE" w14:textId="77777777" w:rsidR="00452609" w:rsidRDefault="00452609" w:rsidP="00452609">
      <w:pPr>
        <w:pStyle w:val="P-SolveBodyText"/>
        <w:rPr>
          <w:rStyle w:val="P-SStyleCondensedby02pt"/>
          <w:rFonts w:ascii="Noto Sans" w:hAnsi="Noto Sans"/>
          <w:spacing w:val="0"/>
        </w:rPr>
      </w:pPr>
    </w:p>
    <w:p w14:paraId="61BE97CC" w14:textId="605278A7" w:rsidR="00452609" w:rsidRPr="00452609" w:rsidRDefault="00D12498" w:rsidP="00452609">
      <w:pPr>
        <w:pStyle w:val="P-SolveBodyText"/>
      </w:pPr>
      <w:r w:rsidRPr="00C7163F">
        <w:rPr>
          <w:rStyle w:val="P-SStyleCondensedby02pt"/>
          <w:rFonts w:ascii="Noto Sans" w:hAnsi="Noto Sans"/>
          <w:spacing w:val="0"/>
        </w:rPr>
        <w:t>The Trustee will keep these risks and how they are measured and managed under regular review.</w:t>
      </w:r>
    </w:p>
    <w:bookmarkEnd w:id="15"/>
    <w:p w14:paraId="2C84A6F9" w14:textId="52A73879" w:rsidR="00484260" w:rsidRPr="00C7163F" w:rsidRDefault="00484260" w:rsidP="00C7163F">
      <w:pPr>
        <w:pStyle w:val="P-SolveHeading2"/>
        <w:spacing w:before="200"/>
        <w:rPr>
          <w:rFonts w:ascii="Schroders Circular TT" w:hAnsi="Schroders Circular TT"/>
          <w:color w:val="0070C0"/>
          <w:sz w:val="28"/>
        </w:rPr>
      </w:pPr>
      <w:r w:rsidRPr="00C7163F">
        <w:rPr>
          <w:rFonts w:ascii="Schroders Circular TT" w:hAnsi="Schroders Circular TT"/>
          <w:color w:val="0070C0"/>
          <w:sz w:val="28"/>
        </w:rPr>
        <w:t>Non-financial</w:t>
      </w:r>
      <w:r w:rsidR="003154EF" w:rsidRPr="00C7163F">
        <w:rPr>
          <w:rFonts w:ascii="Schroders Circular TT" w:hAnsi="Schroders Circular TT"/>
          <w:color w:val="0070C0"/>
          <w:sz w:val="28"/>
        </w:rPr>
        <w:t xml:space="preserve"> matters</w:t>
      </w:r>
    </w:p>
    <w:p w14:paraId="78065F91" w14:textId="1BBFD2A3" w:rsidR="00484260" w:rsidRPr="00C7163F" w:rsidRDefault="00484260" w:rsidP="00794380">
      <w:pPr>
        <w:pStyle w:val="Normal-indented"/>
        <w:ind w:left="0"/>
        <w:rPr>
          <w:rStyle w:val="P-SStyleCondensedby02pt"/>
          <w:rFonts w:ascii="Noto Sans" w:eastAsiaTheme="minorHAnsi" w:hAnsi="Noto Sans"/>
          <w:color w:val="000000" w:themeColor="text1"/>
          <w:spacing w:val="0"/>
        </w:rPr>
      </w:pPr>
      <w:r w:rsidRPr="00C7163F">
        <w:rPr>
          <w:rStyle w:val="P-SStyleCondensedby02pt"/>
          <w:rFonts w:ascii="Noto Sans" w:eastAsiaTheme="minorHAnsi" w:hAnsi="Noto Sans"/>
          <w:color w:val="000000" w:themeColor="text1"/>
          <w:spacing w:val="0"/>
          <w:sz w:val="20"/>
        </w:rPr>
        <w:t>The Trustee does not at present take into account non-financial</w:t>
      </w:r>
      <w:r w:rsidR="003154EF" w:rsidRPr="00C7163F">
        <w:rPr>
          <w:rStyle w:val="P-SStyleCondensedby02pt"/>
          <w:rFonts w:ascii="Noto Sans" w:eastAsiaTheme="minorHAnsi" w:hAnsi="Noto Sans"/>
          <w:color w:val="000000" w:themeColor="text1"/>
          <w:spacing w:val="0"/>
          <w:sz w:val="20"/>
        </w:rPr>
        <w:t xml:space="preserve"> matters</w:t>
      </w:r>
      <w:r w:rsidRPr="00C7163F">
        <w:rPr>
          <w:rStyle w:val="P-SStyleCondensedby02pt"/>
          <w:rFonts w:ascii="Noto Sans" w:eastAsiaTheme="minorHAnsi" w:hAnsi="Noto Sans"/>
          <w:color w:val="000000" w:themeColor="text1"/>
          <w:spacing w:val="0"/>
          <w:sz w:val="20"/>
        </w:rPr>
        <w:t xml:space="preserve"> (such as members’ ethical considerations, social and environmental impact matters or future quality of life considerations for members and beneficiaries) when making investment decisions as there is no likely common view on any ethical matters which members are likely to hold.  At this time the Trustee has no plans to seek the views of the membership on ethical considerations.</w:t>
      </w:r>
    </w:p>
    <w:p w14:paraId="675B101D" w14:textId="2756DC5E" w:rsidR="00484260" w:rsidRDefault="00484260" w:rsidP="00794380">
      <w:pPr>
        <w:pStyle w:val="Normal-indented"/>
        <w:ind w:left="0"/>
        <w:rPr>
          <w:rFonts w:ascii="Noto Sans" w:hAnsi="Noto Sans"/>
          <w:sz w:val="20"/>
        </w:rPr>
      </w:pPr>
    </w:p>
    <w:p w14:paraId="162C231A" w14:textId="77777777" w:rsidR="000E0B69" w:rsidRPr="00C7163F" w:rsidRDefault="000E0B69" w:rsidP="000E0B69">
      <w:pPr>
        <w:pStyle w:val="P-SolveBodyText"/>
        <w:rPr>
          <w:rStyle w:val="P-SStyleCondensedby02pt"/>
          <w:rFonts w:ascii="Noto Sans" w:hAnsi="Noto Sans"/>
          <w:spacing w:val="0"/>
        </w:rPr>
      </w:pPr>
      <w:r w:rsidRPr="00C7163F">
        <w:rPr>
          <w:rStyle w:val="P-SStyleCondensedby02pt"/>
          <w:rFonts w:ascii="Noto Sans" w:hAnsi="Noto Sans"/>
          <w:spacing w:val="0"/>
        </w:rPr>
        <w:t>For and on behalf of the Trustee of the Bibby Line Group Pension Scheme.</w:t>
      </w:r>
    </w:p>
    <w:p w14:paraId="4A50BB3E" w14:textId="77777777" w:rsidR="000E0B69" w:rsidRPr="00C7163F" w:rsidRDefault="000E0B69" w:rsidP="00794380">
      <w:pPr>
        <w:pStyle w:val="Normal-indented"/>
        <w:ind w:left="0"/>
        <w:rPr>
          <w:rFonts w:ascii="Noto Sans" w:hAnsi="Noto Sans"/>
          <w:sz w:val="20"/>
        </w:rPr>
      </w:pPr>
    </w:p>
    <w:p w14:paraId="2B8608F8" w14:textId="77777777" w:rsidR="00794380" w:rsidRPr="00C7163F" w:rsidRDefault="00794380" w:rsidP="00794380">
      <w:pPr>
        <w:pStyle w:val="Normal-indented"/>
        <w:ind w:left="0"/>
        <w:rPr>
          <w:rFonts w:ascii="Noto Sans" w:hAnsi="Noto Sans"/>
          <w:sz w:val="20"/>
        </w:rPr>
      </w:pPr>
    </w:p>
    <w:p w14:paraId="5012EEA1" w14:textId="4F01E64F" w:rsidR="00794380" w:rsidRPr="00C7163F" w:rsidRDefault="000E0B69" w:rsidP="00794380">
      <w:pPr>
        <w:pStyle w:val="Normal-indented"/>
        <w:ind w:left="0"/>
        <w:rPr>
          <w:rFonts w:ascii="Noto Sans" w:hAnsi="Noto Sans"/>
          <w:b/>
          <w:sz w:val="20"/>
        </w:rPr>
      </w:pPr>
      <w:r>
        <w:rPr>
          <w:rFonts w:ascii="Noto Sans" w:hAnsi="Noto Sans"/>
          <w:b/>
          <w:sz w:val="20"/>
        </w:rPr>
        <w:t>6 October 2025</w:t>
      </w:r>
    </w:p>
    <w:p w14:paraId="01597CD8" w14:textId="77777777" w:rsidR="00794380" w:rsidRPr="00C7163F" w:rsidRDefault="00794380" w:rsidP="00794380">
      <w:pPr>
        <w:pStyle w:val="Normal-indented"/>
        <w:rPr>
          <w:rFonts w:ascii="Noto Sans" w:hAnsi="Noto Sans"/>
          <w:sz w:val="20"/>
        </w:rPr>
      </w:pPr>
    </w:p>
    <w:p w14:paraId="4F96D691" w14:textId="77777777" w:rsidR="004A422B" w:rsidRPr="00C7163F" w:rsidRDefault="004A422B" w:rsidP="00C7163F">
      <w:pPr>
        <w:pStyle w:val="P-SolveBodyText"/>
        <w:rPr>
          <w:rStyle w:val="P-SStyleCondensedby02pt"/>
          <w:rFonts w:ascii="Noto Sans" w:hAnsi="Noto Sans"/>
          <w:spacing w:val="0"/>
        </w:rPr>
      </w:pPr>
    </w:p>
    <w:p w14:paraId="68B26A91" w14:textId="77777777" w:rsidR="004A422B" w:rsidRPr="00C7163F" w:rsidRDefault="004A422B" w:rsidP="00C7163F">
      <w:pPr>
        <w:pStyle w:val="P-SolveHeading2"/>
        <w:rPr>
          <w:rFonts w:ascii="Noto Sans" w:hAnsi="Noto Sans"/>
          <w:spacing w:val="-2"/>
          <w:sz w:val="20"/>
        </w:rPr>
      </w:pPr>
    </w:p>
    <w:p w14:paraId="1B89916B" w14:textId="77777777" w:rsidR="004A422B" w:rsidRPr="00C7163F" w:rsidRDefault="004A422B" w:rsidP="003B46D1">
      <w:pPr>
        <w:spacing w:before="20" w:after="20"/>
        <w:rPr>
          <w:rFonts w:ascii="Noto Sans" w:hAnsi="Noto Sans"/>
          <w:sz w:val="13"/>
        </w:rPr>
      </w:pPr>
    </w:p>
    <w:sectPr w:rsidR="004A422B" w:rsidRPr="00C7163F" w:rsidSect="003B46D1">
      <w:headerReference w:type="default" r:id="rId14"/>
      <w:pgSz w:w="11906" w:h="16838"/>
      <w:pgMar w:top="391"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C0748" w14:textId="77777777" w:rsidR="00C51D3E" w:rsidRDefault="00C51D3E" w:rsidP="00454536">
      <w:pPr>
        <w:spacing w:after="0" w:line="240" w:lineRule="auto"/>
      </w:pPr>
      <w:r>
        <w:separator/>
      </w:r>
    </w:p>
  </w:endnote>
  <w:endnote w:type="continuationSeparator" w:id="0">
    <w:p w14:paraId="764EBD45" w14:textId="77777777" w:rsidR="00C51D3E" w:rsidRDefault="00C51D3E" w:rsidP="00454536">
      <w:pPr>
        <w:spacing w:after="0" w:line="240" w:lineRule="auto"/>
      </w:pPr>
      <w:r>
        <w:continuationSeparator/>
      </w:r>
    </w:p>
  </w:endnote>
  <w:endnote w:type="continuationNotice" w:id="1">
    <w:p w14:paraId="75A5593F" w14:textId="77777777" w:rsidR="00C51D3E" w:rsidRDefault="00C51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chroders Circular TT">
    <w:altName w:val="Arial Black"/>
    <w:charset w:val="00"/>
    <w:family w:val="swiss"/>
    <w:pitch w:val="variable"/>
    <w:sig w:usb0="00000001" w:usb1="5000E47B" w:usb2="00000008" w:usb3="00000000" w:csb0="00000093" w:csb1="00000000"/>
  </w:font>
  <w:font w:name="Noto Sans">
    <w:altName w:val="Bahnschrift Light"/>
    <w:charset w:val="00"/>
    <w:family w:val="swiss"/>
    <w:pitch w:val="variable"/>
    <w:sig w:usb0="00000001"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0E0A" w14:textId="77777777" w:rsidR="00A40A6B" w:rsidRDefault="00A40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80BC" w14:textId="77777777" w:rsidR="00A40A6B" w:rsidRDefault="00A40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107522"/>
      <w:docPartObj>
        <w:docPartGallery w:val="Page Numbers (Bottom of Page)"/>
        <w:docPartUnique/>
      </w:docPartObj>
    </w:sdtPr>
    <w:sdtEndPr/>
    <w:sdtContent>
      <w:p w14:paraId="479E6019" w14:textId="7F2CD972" w:rsidR="00A40A6B" w:rsidRDefault="00A40A6B">
        <w:pPr>
          <w:pStyle w:val="Footer"/>
          <w:jc w:val="right"/>
        </w:pPr>
        <w:r>
          <w:t xml:space="preserve">Page </w:t>
        </w:r>
        <w:r>
          <w:fldChar w:fldCharType="begin"/>
        </w:r>
        <w:r>
          <w:instrText xml:space="preserve"> PAGE   \* MERGEFORMAT </w:instrText>
        </w:r>
        <w:r>
          <w:fldChar w:fldCharType="separate"/>
        </w:r>
        <w:r w:rsidR="000E0B69">
          <w:rPr>
            <w:noProof/>
          </w:rPr>
          <w:t>1</w:t>
        </w:r>
        <w:r>
          <w:rPr>
            <w:noProof/>
          </w:rPr>
          <w:fldChar w:fldCharType="end"/>
        </w:r>
        <w:r>
          <w:t xml:space="preserve"> </w:t>
        </w:r>
      </w:p>
    </w:sdtContent>
  </w:sdt>
  <w:p w14:paraId="21D97EB1" w14:textId="77777777" w:rsidR="00A40A6B" w:rsidRDefault="00A40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1B7F8" w14:textId="77777777" w:rsidR="00C51D3E" w:rsidRDefault="00C51D3E" w:rsidP="00454536">
      <w:pPr>
        <w:spacing w:after="0" w:line="240" w:lineRule="auto"/>
      </w:pPr>
      <w:r>
        <w:separator/>
      </w:r>
    </w:p>
  </w:footnote>
  <w:footnote w:type="continuationSeparator" w:id="0">
    <w:p w14:paraId="5A403FFA" w14:textId="77777777" w:rsidR="00C51D3E" w:rsidRDefault="00C51D3E" w:rsidP="00454536">
      <w:pPr>
        <w:spacing w:after="0" w:line="240" w:lineRule="auto"/>
      </w:pPr>
      <w:r>
        <w:continuationSeparator/>
      </w:r>
    </w:p>
  </w:footnote>
  <w:footnote w:type="continuationNotice" w:id="1">
    <w:p w14:paraId="42E6F105" w14:textId="77777777" w:rsidR="00C51D3E" w:rsidRDefault="00C51D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3F73" w14:textId="77777777" w:rsidR="00A40A6B" w:rsidRDefault="00A40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53C4" w14:textId="77777777" w:rsidR="00A40A6B" w:rsidRDefault="00A40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9C3E" w14:textId="77777777" w:rsidR="00A40A6B" w:rsidRDefault="00A40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93C0" w14:textId="77777777" w:rsidR="00A40A6B" w:rsidRDefault="00A40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8A"/>
    <w:multiLevelType w:val="hybridMultilevel"/>
    <w:tmpl w:val="2EEEE45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242572"/>
    <w:multiLevelType w:val="hybridMultilevel"/>
    <w:tmpl w:val="9E40AC42"/>
    <w:lvl w:ilvl="0" w:tplc="92DC8AFC">
      <w:start w:val="1"/>
      <w:numFmt w:val="decimal"/>
      <w:lvlText w:val="%1."/>
      <w:lvlJc w:val="left"/>
      <w:pPr>
        <w:ind w:left="360" w:hanging="360"/>
      </w:pPr>
      <w:rPr>
        <w:rFonts w:hint="default"/>
        <w:b w:val="0"/>
        <w:i w:val="0"/>
        <w:color w:val="A39161"/>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C75F09"/>
    <w:multiLevelType w:val="hybridMultilevel"/>
    <w:tmpl w:val="517690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95A03"/>
    <w:multiLevelType w:val="hybridMultilevel"/>
    <w:tmpl w:val="C9EE3D02"/>
    <w:lvl w:ilvl="0" w:tplc="08090005">
      <w:start w:val="1"/>
      <w:numFmt w:val="bullet"/>
      <w:lvlText w:val=""/>
      <w:lvlJc w:val="left"/>
      <w:pPr>
        <w:ind w:left="360" w:hanging="360"/>
      </w:pPr>
      <w:rPr>
        <w:rFonts w:ascii="Wingdings" w:hAnsi="Wingdings" w:hint="default"/>
        <w:color w:val="A39161"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60EE4"/>
    <w:multiLevelType w:val="hybridMultilevel"/>
    <w:tmpl w:val="C2B8A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49BC"/>
    <w:multiLevelType w:val="hybridMultilevel"/>
    <w:tmpl w:val="F1501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4B1A4A"/>
    <w:multiLevelType w:val="hybridMultilevel"/>
    <w:tmpl w:val="9F8AD856"/>
    <w:lvl w:ilvl="0" w:tplc="D72418EC">
      <w:start w:val="1"/>
      <w:numFmt w:val="lowerRoman"/>
      <w:lvlText w:val="%1."/>
      <w:lvlJc w:val="right"/>
      <w:pPr>
        <w:ind w:left="1080" w:hanging="360"/>
      </w:pPr>
      <w:rPr>
        <w:b/>
        <w:color w:val="A39161" w:themeColor="accen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975527F"/>
    <w:multiLevelType w:val="hybridMultilevel"/>
    <w:tmpl w:val="582AD14E"/>
    <w:lvl w:ilvl="0" w:tplc="C316A7A4">
      <w:start w:val="1"/>
      <w:numFmt w:val="bullet"/>
      <w:lvlText w:val=""/>
      <w:lvlJc w:val="left"/>
      <w:pPr>
        <w:ind w:left="360" w:hanging="360"/>
      </w:pPr>
      <w:rPr>
        <w:rFonts w:ascii="Wingdings" w:hAnsi="Wingdings" w:hint="default"/>
        <w:color w:val="A39161"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0855DA"/>
    <w:multiLevelType w:val="hybridMultilevel"/>
    <w:tmpl w:val="597C6C50"/>
    <w:lvl w:ilvl="0" w:tplc="92DC8AFC">
      <w:start w:val="1"/>
      <w:numFmt w:val="decimal"/>
      <w:lvlText w:val="%1."/>
      <w:lvlJc w:val="left"/>
      <w:pPr>
        <w:tabs>
          <w:tab w:val="num" w:pos="1429"/>
        </w:tabs>
        <w:ind w:left="1429" w:hanging="720"/>
      </w:pPr>
      <w:rPr>
        <w:rFonts w:hint="default"/>
        <w:b w:val="0"/>
        <w:i w:val="0"/>
        <w:color w:val="A39161"/>
        <w:sz w:val="20"/>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9" w15:restartNumberingAfterBreak="0">
    <w:nsid w:val="545D303B"/>
    <w:multiLevelType w:val="hybridMultilevel"/>
    <w:tmpl w:val="12443140"/>
    <w:lvl w:ilvl="0" w:tplc="EE1AE820">
      <w:start w:val="1"/>
      <w:numFmt w:val="bullet"/>
      <w:lvlText w:val=""/>
      <w:lvlJc w:val="left"/>
      <w:pPr>
        <w:ind w:left="720" w:hanging="360"/>
      </w:pPr>
      <w:rPr>
        <w:rFonts w:ascii="Symbol" w:hAnsi="Symbol" w:hint="default"/>
        <w:color w:val="58595B"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148C7"/>
    <w:multiLevelType w:val="hybridMultilevel"/>
    <w:tmpl w:val="87AEBE28"/>
    <w:lvl w:ilvl="0" w:tplc="3300E17A">
      <w:start w:val="1"/>
      <w:numFmt w:val="bullet"/>
      <w:lvlText w:val=""/>
      <w:lvlJc w:val="left"/>
      <w:pPr>
        <w:ind w:left="720" w:hanging="360"/>
      </w:pPr>
      <w:rPr>
        <w:rFonts w:ascii="Wingdings" w:hAnsi="Wingdings" w:hint="default"/>
        <w:color w:val="FFFFFF" w:themeColor="background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F661D"/>
    <w:multiLevelType w:val="hybridMultilevel"/>
    <w:tmpl w:val="611244AC"/>
    <w:lvl w:ilvl="0" w:tplc="D35277AC">
      <w:start w:val="1"/>
      <w:numFmt w:val="upperRoman"/>
      <w:pStyle w:val="StyleStyleHeading1SectionHeadingHR1e1e1BoldLinespacing1"/>
      <w:lvlText w:val="%1."/>
      <w:lvlJc w:val="right"/>
      <w:pPr>
        <w:tabs>
          <w:tab w:val="num" w:pos="1571"/>
        </w:tabs>
        <w:ind w:left="1571" w:hanging="180"/>
      </w:pPr>
      <w:rPr>
        <w:b/>
      </w:rPr>
    </w:lvl>
    <w:lvl w:ilvl="1" w:tplc="04090019" w:tentative="1">
      <w:start w:val="1"/>
      <w:numFmt w:val="lowerLetter"/>
      <w:pStyle w:val="3PSSubsubnumbers"/>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2" w15:restartNumberingAfterBreak="0">
    <w:nsid w:val="5E912AEC"/>
    <w:multiLevelType w:val="hybridMultilevel"/>
    <w:tmpl w:val="FDF2EFEC"/>
    <w:lvl w:ilvl="0" w:tplc="F9B6644A">
      <w:start w:val="1"/>
      <w:numFmt w:val="bullet"/>
      <w:pStyle w:val="P-Solveinbriefbullets"/>
      <w:lvlText w:val="="/>
      <w:lvlJc w:val="left"/>
      <w:pPr>
        <w:ind w:left="360" w:hanging="360"/>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143F7"/>
    <w:multiLevelType w:val="hybridMultilevel"/>
    <w:tmpl w:val="C79EAD34"/>
    <w:lvl w:ilvl="0" w:tplc="B980D440">
      <w:start w:val="1"/>
      <w:numFmt w:val="bullet"/>
      <w:lvlText w:val=""/>
      <w:lvlJc w:val="left"/>
      <w:pPr>
        <w:ind w:left="1069" w:hanging="360"/>
      </w:pPr>
      <w:rPr>
        <w:rFonts w:ascii="Wingdings" w:hAnsi="Wingdings" w:hint="default"/>
        <w:color w:val="A3916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69F93DF4"/>
    <w:multiLevelType w:val="hybridMultilevel"/>
    <w:tmpl w:val="F7E83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7623F"/>
    <w:multiLevelType w:val="hybridMultilevel"/>
    <w:tmpl w:val="CD1E71A8"/>
    <w:lvl w:ilvl="0" w:tplc="08090001">
      <w:start w:val="1"/>
      <w:numFmt w:val="bullet"/>
      <w:lvlText w:val=""/>
      <w:lvlJc w:val="left"/>
      <w:pPr>
        <w:ind w:left="720" w:hanging="360"/>
      </w:pPr>
      <w:rPr>
        <w:rFonts w:ascii="Symbol" w:hAnsi="Symbol" w:hint="default"/>
        <w:color w:val="A39161"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12390"/>
    <w:multiLevelType w:val="hybridMultilevel"/>
    <w:tmpl w:val="47167CE0"/>
    <w:lvl w:ilvl="0" w:tplc="C316A7A4">
      <w:start w:val="1"/>
      <w:numFmt w:val="bullet"/>
      <w:lvlText w:val=""/>
      <w:lvlJc w:val="left"/>
      <w:pPr>
        <w:ind w:left="360" w:hanging="360"/>
      </w:pPr>
      <w:rPr>
        <w:rFonts w:ascii="Wingdings" w:hAnsi="Wingdings" w:hint="default"/>
        <w:color w:val="A39161"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7D5AD9"/>
    <w:multiLevelType w:val="multilevel"/>
    <w:tmpl w:val="F762F58C"/>
    <w:styleLink w:val="Style1"/>
    <w:lvl w:ilvl="0">
      <w:start w:val="1"/>
      <w:numFmt w:val="decimal"/>
      <w:pStyle w:val="P-SolveNumberedHeading1"/>
      <w:lvlText w:val="%1"/>
      <w:lvlJc w:val="left"/>
      <w:pPr>
        <w:ind w:left="1069" w:hanging="360"/>
      </w:pPr>
      <w:rPr>
        <w:rFonts w:hint="default"/>
      </w:rPr>
    </w:lvl>
    <w:lvl w:ilvl="1">
      <w:start w:val="1"/>
      <w:numFmt w:val="decimal"/>
      <w:pStyle w:val="P-SolveNumberedHeading2"/>
      <w:lvlText w:val="%1.%2"/>
      <w:lvlJc w:val="left"/>
      <w:pPr>
        <w:ind w:left="1429" w:hanging="360"/>
      </w:pPr>
      <w:rPr>
        <w:rFonts w:hint="default"/>
      </w:rPr>
    </w:lvl>
    <w:lvl w:ilvl="2">
      <w:start w:val="1"/>
      <w:numFmt w:val="decimal"/>
      <w:pStyle w:val="P-SolveNumberedHeading3"/>
      <w:lvlText w:val="%1.%2.%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8" w15:restartNumberingAfterBreak="0">
    <w:nsid w:val="7FD96C13"/>
    <w:multiLevelType w:val="hybridMultilevel"/>
    <w:tmpl w:val="A3904242"/>
    <w:lvl w:ilvl="0" w:tplc="FE3A95E8">
      <w:start w:val="1"/>
      <w:numFmt w:val="bullet"/>
      <w:lvlText w:val=""/>
      <w:lvlJc w:val="left"/>
      <w:pPr>
        <w:ind w:left="1429" w:hanging="360"/>
      </w:pPr>
      <w:rPr>
        <w:rFonts w:ascii="Symbol" w:hAnsi="Symbol" w:hint="default"/>
        <w:color w:val="58595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2"/>
  </w:num>
  <w:num w:numId="2">
    <w:abstractNumId w:val="10"/>
  </w:num>
  <w:num w:numId="3">
    <w:abstractNumId w:val="17"/>
  </w:num>
  <w:num w:numId="4">
    <w:abstractNumId w:val="8"/>
  </w:num>
  <w:num w:numId="5">
    <w:abstractNumId w:val="13"/>
  </w:num>
  <w:num w:numId="6">
    <w:abstractNumId w:val="18"/>
  </w:num>
  <w:num w:numId="7">
    <w:abstractNumId w:val="1"/>
  </w:num>
  <w:num w:numId="8">
    <w:abstractNumId w:val="7"/>
  </w:num>
  <w:num w:numId="9">
    <w:abstractNumId w:val="16"/>
  </w:num>
  <w:num w:numId="10">
    <w:abstractNumId w:val="15"/>
  </w:num>
  <w:num w:numId="11">
    <w:abstractNumId w:val="9"/>
  </w:num>
  <w:num w:numId="12">
    <w:abstractNumId w:val="6"/>
  </w:num>
  <w:num w:numId="13">
    <w:abstractNumId w:val="11"/>
  </w:num>
  <w:num w:numId="14">
    <w:abstractNumId w:val="17"/>
  </w:num>
  <w:num w:numId="15">
    <w:abstractNumId w:val="5"/>
  </w:num>
  <w:num w:numId="16">
    <w:abstractNumId w:val="3"/>
  </w:num>
  <w:num w:numId="17">
    <w:abstractNumId w:val="4"/>
  </w:num>
  <w:num w:numId="18">
    <w:abstractNumId w:val="2"/>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80"/>
    <w:rsid w:val="00013100"/>
    <w:rsid w:val="000152D6"/>
    <w:rsid w:val="00017E29"/>
    <w:rsid w:val="000238F2"/>
    <w:rsid w:val="000271BC"/>
    <w:rsid w:val="00033BF1"/>
    <w:rsid w:val="00036CF0"/>
    <w:rsid w:val="0006470C"/>
    <w:rsid w:val="0006551E"/>
    <w:rsid w:val="00067C09"/>
    <w:rsid w:val="000779C2"/>
    <w:rsid w:val="000A043B"/>
    <w:rsid w:val="000B6407"/>
    <w:rsid w:val="000E0B69"/>
    <w:rsid w:val="000E1B2D"/>
    <w:rsid w:val="000E424D"/>
    <w:rsid w:val="000E6DFB"/>
    <w:rsid w:val="000F2BB9"/>
    <w:rsid w:val="000F796A"/>
    <w:rsid w:val="001040E0"/>
    <w:rsid w:val="00135532"/>
    <w:rsid w:val="001359F2"/>
    <w:rsid w:val="00136E41"/>
    <w:rsid w:val="00147932"/>
    <w:rsid w:val="0015179A"/>
    <w:rsid w:val="0015590D"/>
    <w:rsid w:val="00156CC5"/>
    <w:rsid w:val="00167AFE"/>
    <w:rsid w:val="00170DDA"/>
    <w:rsid w:val="001A56DB"/>
    <w:rsid w:val="001B2989"/>
    <w:rsid w:val="001C5D49"/>
    <w:rsid w:val="001E3CDE"/>
    <w:rsid w:val="00202A1D"/>
    <w:rsid w:val="00233F94"/>
    <w:rsid w:val="00240DF0"/>
    <w:rsid w:val="0028225F"/>
    <w:rsid w:val="00285968"/>
    <w:rsid w:val="00297F8E"/>
    <w:rsid w:val="002A4937"/>
    <w:rsid w:val="002B389F"/>
    <w:rsid w:val="002B4724"/>
    <w:rsid w:val="002B7B1D"/>
    <w:rsid w:val="002C141F"/>
    <w:rsid w:val="002C2C78"/>
    <w:rsid w:val="002C2FC2"/>
    <w:rsid w:val="002E1C19"/>
    <w:rsid w:val="002E4119"/>
    <w:rsid w:val="00305C27"/>
    <w:rsid w:val="00314E54"/>
    <w:rsid w:val="003154EF"/>
    <w:rsid w:val="00321395"/>
    <w:rsid w:val="00335D45"/>
    <w:rsid w:val="003541D0"/>
    <w:rsid w:val="0035499E"/>
    <w:rsid w:val="00355E14"/>
    <w:rsid w:val="00385A5C"/>
    <w:rsid w:val="003B46D1"/>
    <w:rsid w:val="003C5FCA"/>
    <w:rsid w:val="003C7D49"/>
    <w:rsid w:val="003E6563"/>
    <w:rsid w:val="003E7032"/>
    <w:rsid w:val="003E73F9"/>
    <w:rsid w:val="00425541"/>
    <w:rsid w:val="00432C32"/>
    <w:rsid w:val="0043555C"/>
    <w:rsid w:val="004402CE"/>
    <w:rsid w:val="00443075"/>
    <w:rsid w:val="00452609"/>
    <w:rsid w:val="00454536"/>
    <w:rsid w:val="00456406"/>
    <w:rsid w:val="00457B70"/>
    <w:rsid w:val="00460F21"/>
    <w:rsid w:val="00463C3C"/>
    <w:rsid w:val="004666A9"/>
    <w:rsid w:val="00471028"/>
    <w:rsid w:val="00473DAC"/>
    <w:rsid w:val="00474456"/>
    <w:rsid w:val="00474933"/>
    <w:rsid w:val="00484260"/>
    <w:rsid w:val="004A422B"/>
    <w:rsid w:val="004A7100"/>
    <w:rsid w:val="004A7501"/>
    <w:rsid w:val="004B4021"/>
    <w:rsid w:val="004C385E"/>
    <w:rsid w:val="004C6FE4"/>
    <w:rsid w:val="004D22C7"/>
    <w:rsid w:val="004F0D4B"/>
    <w:rsid w:val="004F6278"/>
    <w:rsid w:val="004F77EF"/>
    <w:rsid w:val="00500305"/>
    <w:rsid w:val="00503078"/>
    <w:rsid w:val="005031A7"/>
    <w:rsid w:val="0051198E"/>
    <w:rsid w:val="00512ACE"/>
    <w:rsid w:val="00521477"/>
    <w:rsid w:val="00524ACA"/>
    <w:rsid w:val="00551235"/>
    <w:rsid w:val="005713BB"/>
    <w:rsid w:val="00581413"/>
    <w:rsid w:val="00592116"/>
    <w:rsid w:val="005A36C4"/>
    <w:rsid w:val="005C1AB3"/>
    <w:rsid w:val="005E5A48"/>
    <w:rsid w:val="005E6167"/>
    <w:rsid w:val="0060248B"/>
    <w:rsid w:val="0060260A"/>
    <w:rsid w:val="00606C26"/>
    <w:rsid w:val="00607FD4"/>
    <w:rsid w:val="00610526"/>
    <w:rsid w:val="006156D9"/>
    <w:rsid w:val="0062507F"/>
    <w:rsid w:val="00636B0B"/>
    <w:rsid w:val="006371C9"/>
    <w:rsid w:val="006452E7"/>
    <w:rsid w:val="00684E68"/>
    <w:rsid w:val="006869A3"/>
    <w:rsid w:val="006A6620"/>
    <w:rsid w:val="006B41EF"/>
    <w:rsid w:val="006B54E4"/>
    <w:rsid w:val="006B5F23"/>
    <w:rsid w:val="006C2161"/>
    <w:rsid w:val="006E0DFD"/>
    <w:rsid w:val="006E1A33"/>
    <w:rsid w:val="006E2779"/>
    <w:rsid w:val="0071325E"/>
    <w:rsid w:val="007377B0"/>
    <w:rsid w:val="00740F2B"/>
    <w:rsid w:val="00762A78"/>
    <w:rsid w:val="00764532"/>
    <w:rsid w:val="00780A43"/>
    <w:rsid w:val="00793EF8"/>
    <w:rsid w:val="00794380"/>
    <w:rsid w:val="00794570"/>
    <w:rsid w:val="007B4268"/>
    <w:rsid w:val="007C6CE6"/>
    <w:rsid w:val="007F2F38"/>
    <w:rsid w:val="00804AF6"/>
    <w:rsid w:val="008077AD"/>
    <w:rsid w:val="0082250D"/>
    <w:rsid w:val="00841F21"/>
    <w:rsid w:val="0084666B"/>
    <w:rsid w:val="008540EF"/>
    <w:rsid w:val="008574BB"/>
    <w:rsid w:val="0086552F"/>
    <w:rsid w:val="0087261B"/>
    <w:rsid w:val="00896B8A"/>
    <w:rsid w:val="008C2501"/>
    <w:rsid w:val="008D0A1E"/>
    <w:rsid w:val="008D27A4"/>
    <w:rsid w:val="008E1A21"/>
    <w:rsid w:val="008E4591"/>
    <w:rsid w:val="008E6CAE"/>
    <w:rsid w:val="008F59A0"/>
    <w:rsid w:val="009059B1"/>
    <w:rsid w:val="00920F93"/>
    <w:rsid w:val="009228FB"/>
    <w:rsid w:val="00947EAB"/>
    <w:rsid w:val="009629C1"/>
    <w:rsid w:val="009A1863"/>
    <w:rsid w:val="009A1DA5"/>
    <w:rsid w:val="009A387B"/>
    <w:rsid w:val="009B053B"/>
    <w:rsid w:val="009C2A5C"/>
    <w:rsid w:val="00A20834"/>
    <w:rsid w:val="00A21238"/>
    <w:rsid w:val="00A24A9F"/>
    <w:rsid w:val="00A275C9"/>
    <w:rsid w:val="00A375CE"/>
    <w:rsid w:val="00A40A6B"/>
    <w:rsid w:val="00A45201"/>
    <w:rsid w:val="00A5087B"/>
    <w:rsid w:val="00A5503A"/>
    <w:rsid w:val="00A61E3F"/>
    <w:rsid w:val="00A657BA"/>
    <w:rsid w:val="00A76F15"/>
    <w:rsid w:val="00A82BC3"/>
    <w:rsid w:val="00AB4997"/>
    <w:rsid w:val="00AC47D2"/>
    <w:rsid w:val="00AC7AF2"/>
    <w:rsid w:val="00AD4B89"/>
    <w:rsid w:val="00AE4CD7"/>
    <w:rsid w:val="00B00ED3"/>
    <w:rsid w:val="00B20CC3"/>
    <w:rsid w:val="00B24ED3"/>
    <w:rsid w:val="00B26EC7"/>
    <w:rsid w:val="00B377CF"/>
    <w:rsid w:val="00B379A5"/>
    <w:rsid w:val="00B520BF"/>
    <w:rsid w:val="00B53401"/>
    <w:rsid w:val="00BA170A"/>
    <w:rsid w:val="00BA79E4"/>
    <w:rsid w:val="00BB44C5"/>
    <w:rsid w:val="00BD05DF"/>
    <w:rsid w:val="00BD5842"/>
    <w:rsid w:val="00BD764C"/>
    <w:rsid w:val="00BE08E8"/>
    <w:rsid w:val="00C03573"/>
    <w:rsid w:val="00C03E39"/>
    <w:rsid w:val="00C104EC"/>
    <w:rsid w:val="00C137D6"/>
    <w:rsid w:val="00C26217"/>
    <w:rsid w:val="00C43D92"/>
    <w:rsid w:val="00C51D3E"/>
    <w:rsid w:val="00C525F9"/>
    <w:rsid w:val="00C643AE"/>
    <w:rsid w:val="00C7163F"/>
    <w:rsid w:val="00C863E6"/>
    <w:rsid w:val="00C868FA"/>
    <w:rsid w:val="00C91C34"/>
    <w:rsid w:val="00CA0D9B"/>
    <w:rsid w:val="00CA227E"/>
    <w:rsid w:val="00CA4F5F"/>
    <w:rsid w:val="00CA753D"/>
    <w:rsid w:val="00CD60DE"/>
    <w:rsid w:val="00CD7005"/>
    <w:rsid w:val="00CE3C7A"/>
    <w:rsid w:val="00D002AE"/>
    <w:rsid w:val="00D06712"/>
    <w:rsid w:val="00D12498"/>
    <w:rsid w:val="00D1696F"/>
    <w:rsid w:val="00D27AB9"/>
    <w:rsid w:val="00D50E97"/>
    <w:rsid w:val="00D53116"/>
    <w:rsid w:val="00D8035E"/>
    <w:rsid w:val="00D81DB0"/>
    <w:rsid w:val="00D9030F"/>
    <w:rsid w:val="00D903AD"/>
    <w:rsid w:val="00D93F30"/>
    <w:rsid w:val="00DC017D"/>
    <w:rsid w:val="00DC43F1"/>
    <w:rsid w:val="00DD1472"/>
    <w:rsid w:val="00DE5FBA"/>
    <w:rsid w:val="00E0002A"/>
    <w:rsid w:val="00E0156F"/>
    <w:rsid w:val="00E14A6C"/>
    <w:rsid w:val="00E21D44"/>
    <w:rsid w:val="00E3505B"/>
    <w:rsid w:val="00E5581C"/>
    <w:rsid w:val="00E5599D"/>
    <w:rsid w:val="00E62F10"/>
    <w:rsid w:val="00E67DCB"/>
    <w:rsid w:val="00E808DC"/>
    <w:rsid w:val="00E84378"/>
    <w:rsid w:val="00E91BDD"/>
    <w:rsid w:val="00E96839"/>
    <w:rsid w:val="00EA00BD"/>
    <w:rsid w:val="00EA2CC6"/>
    <w:rsid w:val="00EB105F"/>
    <w:rsid w:val="00EC621A"/>
    <w:rsid w:val="00EE2C0F"/>
    <w:rsid w:val="00EE731B"/>
    <w:rsid w:val="00EF7CE6"/>
    <w:rsid w:val="00F16B28"/>
    <w:rsid w:val="00F22BF7"/>
    <w:rsid w:val="00F22C6B"/>
    <w:rsid w:val="00F41D76"/>
    <w:rsid w:val="00F46FA3"/>
    <w:rsid w:val="00F633B1"/>
    <w:rsid w:val="00F635DE"/>
    <w:rsid w:val="00F64DE7"/>
    <w:rsid w:val="00F7077D"/>
    <w:rsid w:val="00FE28B5"/>
    <w:rsid w:val="00FE45B6"/>
    <w:rsid w:val="00FF2968"/>
    <w:rsid w:val="00FF2F9E"/>
    <w:rsid w:val="00FF71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6FCD15"/>
  <w15:docId w15:val="{3D5E3863-D2A9-4EB3-8078-853AE41D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536"/>
    <w:rPr>
      <w:rFonts w:ascii="Tahoma" w:hAnsi="Tahoma" w:cs="Tahoma"/>
      <w:sz w:val="16"/>
      <w:szCs w:val="16"/>
    </w:rPr>
  </w:style>
  <w:style w:type="paragraph" w:styleId="Header">
    <w:name w:val="header"/>
    <w:basedOn w:val="Normal"/>
    <w:link w:val="HeaderChar"/>
    <w:uiPriority w:val="99"/>
    <w:unhideWhenUsed/>
    <w:rsid w:val="00454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536"/>
  </w:style>
  <w:style w:type="paragraph" w:styleId="Footer">
    <w:name w:val="footer"/>
    <w:basedOn w:val="Normal"/>
    <w:link w:val="FooterChar"/>
    <w:uiPriority w:val="99"/>
    <w:unhideWhenUsed/>
    <w:rsid w:val="0045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536"/>
  </w:style>
  <w:style w:type="paragraph" w:customStyle="1" w:styleId="P-SolveDocumentTitle">
    <w:name w:val="P-Solve Document Title"/>
    <w:basedOn w:val="Normal"/>
    <w:link w:val="P-SolveDocumentTitleChar"/>
    <w:qFormat/>
    <w:rsid w:val="005A36C4"/>
    <w:pPr>
      <w:spacing w:before="320" w:after="600" w:line="240" w:lineRule="auto"/>
      <w:jc w:val="right"/>
    </w:pPr>
    <w:rPr>
      <w:rFonts w:ascii="Corbel" w:hAnsi="Corbel"/>
      <w:color w:val="58595B" w:themeColor="text2"/>
      <w:sz w:val="64"/>
      <w:szCs w:val="64"/>
    </w:rPr>
  </w:style>
  <w:style w:type="paragraph" w:customStyle="1" w:styleId="P-SolveSubTitle">
    <w:name w:val="P-Solve Sub Title"/>
    <w:basedOn w:val="P-SolveDocumentTitle"/>
    <w:link w:val="P-SolveSubTitleChar"/>
    <w:qFormat/>
    <w:rsid w:val="005A36C4"/>
    <w:pPr>
      <w:spacing w:after="0"/>
      <w:jc w:val="left"/>
    </w:pPr>
    <w:rPr>
      <w:b/>
      <w:color w:val="000000" w:themeColor="text1"/>
      <w:sz w:val="30"/>
      <w:szCs w:val="30"/>
    </w:rPr>
  </w:style>
  <w:style w:type="character" w:customStyle="1" w:styleId="P-SolveDocumentTitleChar">
    <w:name w:val="P-Solve Document Title Char"/>
    <w:basedOn w:val="DefaultParagraphFont"/>
    <w:link w:val="P-SolveDocumentTitle"/>
    <w:rsid w:val="005A36C4"/>
    <w:rPr>
      <w:rFonts w:ascii="Corbel" w:hAnsi="Corbel"/>
      <w:color w:val="58595B" w:themeColor="text2"/>
      <w:sz w:val="64"/>
      <w:szCs w:val="64"/>
    </w:rPr>
  </w:style>
  <w:style w:type="paragraph" w:customStyle="1" w:styleId="P-SolveHeading1">
    <w:name w:val="P-Solve Heading 1"/>
    <w:basedOn w:val="P-SolveDocumentTitle"/>
    <w:link w:val="P-SolveHeading1Char"/>
    <w:qFormat/>
    <w:rsid w:val="005A36C4"/>
    <w:pPr>
      <w:spacing w:after="200"/>
      <w:jc w:val="left"/>
    </w:pPr>
    <w:rPr>
      <w:b/>
      <w:sz w:val="42"/>
      <w:szCs w:val="42"/>
    </w:rPr>
  </w:style>
  <w:style w:type="character" w:customStyle="1" w:styleId="P-SolveSubTitleChar">
    <w:name w:val="P-Solve Sub Title Char"/>
    <w:basedOn w:val="P-SolveDocumentTitleChar"/>
    <w:link w:val="P-SolveSubTitle"/>
    <w:rsid w:val="005A36C4"/>
    <w:rPr>
      <w:rFonts w:ascii="Corbel" w:hAnsi="Corbel"/>
      <w:b/>
      <w:color w:val="000000" w:themeColor="text1"/>
      <w:sz w:val="30"/>
      <w:szCs w:val="30"/>
    </w:rPr>
  </w:style>
  <w:style w:type="paragraph" w:customStyle="1" w:styleId="P-SolveBodyText">
    <w:name w:val="P-Solve Body Text"/>
    <w:basedOn w:val="P-SolveHeading1"/>
    <w:link w:val="P-SolveBodyTextChar"/>
    <w:qFormat/>
    <w:rsid w:val="00233F94"/>
    <w:pPr>
      <w:spacing w:before="100" w:after="100" w:line="300" w:lineRule="exact"/>
    </w:pPr>
    <w:rPr>
      <w:b w:val="0"/>
      <w:color w:val="000000" w:themeColor="text1"/>
      <w:sz w:val="20"/>
      <w:szCs w:val="20"/>
    </w:rPr>
  </w:style>
  <w:style w:type="character" w:customStyle="1" w:styleId="P-SolveHeading1Char">
    <w:name w:val="P-Solve Heading 1 Char"/>
    <w:basedOn w:val="P-SolveDocumentTitleChar"/>
    <w:link w:val="P-SolveHeading1"/>
    <w:rsid w:val="005A36C4"/>
    <w:rPr>
      <w:rFonts w:ascii="Corbel" w:hAnsi="Corbel"/>
      <w:b/>
      <w:color w:val="58595B" w:themeColor="text2"/>
      <w:sz w:val="42"/>
      <w:szCs w:val="42"/>
    </w:rPr>
  </w:style>
  <w:style w:type="paragraph" w:customStyle="1" w:styleId="P-SolveHeading2">
    <w:name w:val="P-Solve Heading 2"/>
    <w:basedOn w:val="P-SolveBodyText"/>
    <w:next w:val="P-SolveBodyText"/>
    <w:qFormat/>
    <w:rsid w:val="00233F94"/>
    <w:pPr>
      <w:spacing w:before="120" w:after="60" w:line="240" w:lineRule="auto"/>
    </w:pPr>
    <w:rPr>
      <w:b/>
      <w:color w:val="A39161"/>
      <w:sz w:val="22"/>
      <w:szCs w:val="42"/>
    </w:rPr>
  </w:style>
  <w:style w:type="character" w:customStyle="1" w:styleId="P-SolveBodyTextChar">
    <w:name w:val="P-Solve Body Text Char"/>
    <w:basedOn w:val="P-SolveHeading1Char"/>
    <w:link w:val="P-SolveBodyText"/>
    <w:rsid w:val="00233F94"/>
    <w:rPr>
      <w:rFonts w:ascii="Corbel" w:hAnsi="Corbel"/>
      <w:b w:val="0"/>
      <w:color w:val="000000" w:themeColor="text1"/>
      <w:sz w:val="20"/>
      <w:szCs w:val="20"/>
    </w:rPr>
  </w:style>
  <w:style w:type="paragraph" w:customStyle="1" w:styleId="P-SDocumentintro">
    <w:name w:val="P-S Document intro"/>
    <w:next w:val="Normal"/>
    <w:rsid w:val="00233F94"/>
    <w:pPr>
      <w:spacing w:after="70" w:line="240" w:lineRule="auto"/>
    </w:pPr>
    <w:rPr>
      <w:rFonts w:ascii="Calibri" w:eastAsia="Times New Roman" w:hAnsi="Calibri" w:cs="Times New Roman"/>
      <w:b/>
      <w:sz w:val="19"/>
      <w:szCs w:val="24"/>
      <w:lang w:eastAsia="en-GB"/>
    </w:rPr>
  </w:style>
  <w:style w:type="table" w:customStyle="1" w:styleId="P-SolveTable">
    <w:name w:val="P-Solve Table"/>
    <w:basedOn w:val="TableNormal"/>
    <w:uiPriority w:val="99"/>
    <w:rsid w:val="0087261B"/>
    <w:pPr>
      <w:spacing w:after="0" w:line="240" w:lineRule="auto"/>
    </w:pPr>
    <w:rPr>
      <w:rFonts w:ascii="Corbel" w:hAnsi="Corbel"/>
      <w:sz w:val="15"/>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Corbel" w:hAnsi="Corbel"/>
        <w:b/>
        <w:color w:val="FFFFFF" w:themeColor="background1"/>
        <w:sz w:val="15"/>
      </w:rPr>
      <w:tblPr/>
      <w:tcPr>
        <w:shd w:val="clear" w:color="auto" w:fill="58595B" w:themeFill="text2"/>
      </w:tcPr>
    </w:tblStylePr>
    <w:tblStylePr w:type="firstCol">
      <w:rPr>
        <w:rFonts w:ascii="Corbel" w:hAnsi="Corbel"/>
        <w:b/>
        <w:color w:val="FFFFFF" w:themeColor="background1"/>
        <w:sz w:val="15"/>
      </w:rPr>
      <w:tblPr/>
      <w:tcPr>
        <w:shd w:val="clear" w:color="auto" w:fill="58595B" w:themeFill="text2"/>
      </w:tcPr>
    </w:tblStylePr>
    <w:tblStylePr w:type="band1Horz">
      <w:rPr>
        <w:rFonts w:ascii="Corbel" w:hAnsi="Corbel"/>
        <w:color w:val="000000" w:themeColor="text1"/>
        <w:sz w:val="15"/>
      </w:rPr>
      <w:tblPr/>
      <w:tcPr>
        <w:shd w:val="clear" w:color="auto" w:fill="F5F2ED"/>
      </w:tcPr>
    </w:tblStylePr>
    <w:tblStylePr w:type="band2Horz">
      <w:rPr>
        <w:rFonts w:ascii="Corbel" w:hAnsi="Corbel"/>
        <w:color w:val="auto"/>
        <w:sz w:val="15"/>
      </w:rPr>
      <w:tblPr/>
      <w:tcPr>
        <w:shd w:val="clear" w:color="auto" w:fill="EBE5DA"/>
      </w:tcPr>
    </w:tblStylePr>
  </w:style>
  <w:style w:type="paragraph" w:customStyle="1" w:styleId="P-SolveTableHeader">
    <w:name w:val="P-Solve Table Header"/>
    <w:basedOn w:val="P-SolveBodyText"/>
    <w:qFormat/>
    <w:rsid w:val="00233F94"/>
    <w:pPr>
      <w:spacing w:before="60" w:after="60" w:line="240" w:lineRule="auto"/>
    </w:pPr>
    <w:rPr>
      <w:color w:val="FFFFFF" w:themeColor="background1"/>
      <w:sz w:val="15"/>
      <w:szCs w:val="15"/>
    </w:rPr>
  </w:style>
  <w:style w:type="paragraph" w:customStyle="1" w:styleId="P-SolveTableBody">
    <w:name w:val="P-Solve Table Body"/>
    <w:basedOn w:val="P-SolveBodyText"/>
    <w:qFormat/>
    <w:rsid w:val="00233F94"/>
    <w:pPr>
      <w:spacing w:before="60" w:after="60" w:line="240" w:lineRule="auto"/>
    </w:pPr>
    <w:rPr>
      <w:sz w:val="15"/>
      <w:szCs w:val="42"/>
    </w:rPr>
  </w:style>
  <w:style w:type="paragraph" w:customStyle="1" w:styleId="P-SolveTableText">
    <w:name w:val="P-Solve Table Text"/>
    <w:basedOn w:val="P-SolveBodyText"/>
    <w:qFormat/>
    <w:rsid w:val="00233F94"/>
    <w:pPr>
      <w:spacing w:before="60" w:after="60" w:line="240" w:lineRule="exact"/>
    </w:pPr>
    <w:rPr>
      <w:sz w:val="19"/>
      <w:szCs w:val="19"/>
    </w:rPr>
  </w:style>
  <w:style w:type="paragraph" w:customStyle="1" w:styleId="P-Solveinbriefbullets">
    <w:name w:val="P-Solve 'in brief' bullets"/>
    <w:qFormat/>
    <w:rsid w:val="00233F94"/>
    <w:pPr>
      <w:numPr>
        <w:numId w:val="1"/>
      </w:numPr>
      <w:tabs>
        <w:tab w:val="left" w:pos="284"/>
      </w:tabs>
      <w:spacing w:before="120" w:after="120" w:line="240" w:lineRule="auto"/>
    </w:pPr>
    <w:rPr>
      <w:rFonts w:ascii="Calibri" w:eastAsia="Times New Roman" w:hAnsi="Calibri" w:cs="Times New Roman"/>
      <w:color w:val="FFFFFF" w:themeColor="background1"/>
      <w:sz w:val="16"/>
      <w:szCs w:val="24"/>
      <w:lang w:eastAsia="en-GB"/>
    </w:rPr>
  </w:style>
  <w:style w:type="paragraph" w:customStyle="1" w:styleId="P-SolveinbriefHeading">
    <w:name w:val="P-Solve 'in brief' Heading"/>
    <w:basedOn w:val="Normal"/>
    <w:autoRedefine/>
    <w:qFormat/>
    <w:rsid w:val="00233F94"/>
    <w:pPr>
      <w:spacing w:before="120" w:after="120" w:line="240" w:lineRule="auto"/>
    </w:pPr>
    <w:rPr>
      <w:rFonts w:ascii="Corbel" w:hAnsi="Corbel"/>
      <w:color w:val="FFFFFF" w:themeColor="background1"/>
      <w:sz w:val="16"/>
    </w:rPr>
  </w:style>
  <w:style w:type="paragraph" w:customStyle="1" w:styleId="P-SolveBodyTextwithextraspaceabove">
    <w:name w:val="P-Solve Body Text with extra space above"/>
    <w:basedOn w:val="P-SolveBodyText"/>
    <w:qFormat/>
    <w:rsid w:val="00233F94"/>
    <w:pPr>
      <w:spacing w:after="70" w:line="240" w:lineRule="auto"/>
    </w:pPr>
    <w:rPr>
      <w:sz w:val="17"/>
      <w:szCs w:val="42"/>
    </w:rPr>
  </w:style>
  <w:style w:type="character" w:customStyle="1" w:styleId="P-SStyleCondensedby02pt">
    <w:name w:val="P-S Style Condensed by  0.2 pt"/>
    <w:basedOn w:val="DefaultParagraphFont"/>
    <w:rsid w:val="00233F94"/>
    <w:rPr>
      <w:spacing w:val="-4"/>
    </w:rPr>
  </w:style>
  <w:style w:type="paragraph" w:styleId="NormalWeb">
    <w:name w:val="Normal (Web)"/>
    <w:basedOn w:val="Normal"/>
    <w:uiPriority w:val="99"/>
    <w:semiHidden/>
    <w:unhideWhenUsed/>
    <w:rsid w:val="00233F9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3">
    <w:name w:val="Body Text 3"/>
    <w:basedOn w:val="Normal"/>
    <w:link w:val="BodyText3Char"/>
    <w:rsid w:val="006E0DFD"/>
    <w:pPr>
      <w:tabs>
        <w:tab w:val="left" w:pos="567"/>
      </w:tabs>
      <w:overflowPunct w:val="0"/>
      <w:autoSpaceDE w:val="0"/>
      <w:autoSpaceDN w:val="0"/>
      <w:adjustRightInd w:val="0"/>
      <w:spacing w:before="120" w:after="0" w:line="240" w:lineRule="auto"/>
      <w:jc w:val="both"/>
      <w:textAlignment w:val="baseline"/>
    </w:pPr>
    <w:rPr>
      <w:rFonts w:ascii="Lucida Grande" w:eastAsia="Times New Roman" w:hAnsi="Lucida Grande" w:cs="Times New Roman"/>
      <w:color w:val="000000"/>
      <w:sz w:val="18"/>
      <w:szCs w:val="20"/>
    </w:rPr>
  </w:style>
  <w:style w:type="character" w:customStyle="1" w:styleId="BodyText3Char">
    <w:name w:val="Body Text 3 Char"/>
    <w:basedOn w:val="DefaultParagraphFont"/>
    <w:link w:val="BodyText3"/>
    <w:rsid w:val="006E0DFD"/>
    <w:rPr>
      <w:rFonts w:ascii="Lucida Grande" w:eastAsia="Times New Roman" w:hAnsi="Lucida Grande" w:cs="Times New Roman"/>
      <w:color w:val="000000"/>
      <w:sz w:val="18"/>
      <w:szCs w:val="20"/>
    </w:rPr>
  </w:style>
  <w:style w:type="table" w:styleId="TableGrid">
    <w:name w:val="Table Grid"/>
    <w:basedOn w:val="TableNormal"/>
    <w:uiPriority w:val="59"/>
    <w:rsid w:val="00872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lveNumberedHeading1">
    <w:name w:val="P-Solve Numbered Heading 1"/>
    <w:qFormat/>
    <w:rsid w:val="00794380"/>
    <w:pPr>
      <w:numPr>
        <w:numId w:val="3"/>
      </w:numPr>
      <w:tabs>
        <w:tab w:val="left" w:pos="709"/>
      </w:tabs>
    </w:pPr>
    <w:rPr>
      <w:rFonts w:ascii="Corbel" w:hAnsi="Corbel"/>
      <w:color w:val="58595B"/>
      <w:sz w:val="44"/>
    </w:rPr>
  </w:style>
  <w:style w:type="paragraph" w:customStyle="1" w:styleId="P-SolveBodytext0">
    <w:name w:val="P-Solve Body text"/>
    <w:link w:val="P-SolveBodytextChar0"/>
    <w:qFormat/>
    <w:rsid w:val="00794380"/>
    <w:pPr>
      <w:spacing w:before="100" w:after="100" w:line="300" w:lineRule="exact"/>
      <w:ind w:left="709"/>
    </w:pPr>
    <w:rPr>
      <w:rFonts w:ascii="Corbel" w:hAnsi="Corbel"/>
      <w:color w:val="000000" w:themeColor="text1"/>
      <w:sz w:val="20"/>
    </w:rPr>
  </w:style>
  <w:style w:type="paragraph" w:customStyle="1" w:styleId="P-SolveNumberedHeading2">
    <w:name w:val="P-Solve Numbered Heading 2"/>
    <w:basedOn w:val="P-SolveNumberedHeading1"/>
    <w:qFormat/>
    <w:rsid w:val="00794380"/>
    <w:pPr>
      <w:numPr>
        <w:ilvl w:val="1"/>
      </w:numPr>
      <w:tabs>
        <w:tab w:val="clear" w:pos="709"/>
      </w:tabs>
      <w:spacing w:before="360"/>
    </w:pPr>
    <w:rPr>
      <w:b/>
      <w:color w:val="A39161"/>
      <w:sz w:val="32"/>
    </w:rPr>
  </w:style>
  <w:style w:type="paragraph" w:customStyle="1" w:styleId="P-SolveNumberedHeading3">
    <w:name w:val="P-Solve Numbered Heading 3"/>
    <w:basedOn w:val="P-SolveNumberedHeading2"/>
    <w:qFormat/>
    <w:rsid w:val="00794380"/>
    <w:pPr>
      <w:numPr>
        <w:ilvl w:val="2"/>
      </w:numPr>
      <w:ind w:left="709" w:hanging="709"/>
    </w:pPr>
    <w:rPr>
      <w:color w:val="58595B"/>
      <w:sz w:val="26"/>
      <w:szCs w:val="26"/>
    </w:rPr>
  </w:style>
  <w:style w:type="character" w:customStyle="1" w:styleId="P-SolveBodytextChar0">
    <w:name w:val="P-Solve Body text Char"/>
    <w:basedOn w:val="DefaultParagraphFont"/>
    <w:link w:val="P-SolveBodytext0"/>
    <w:rsid w:val="00794380"/>
    <w:rPr>
      <w:rFonts w:ascii="Corbel" w:hAnsi="Corbel"/>
      <w:color w:val="000000" w:themeColor="text1"/>
      <w:sz w:val="20"/>
    </w:rPr>
  </w:style>
  <w:style w:type="numbering" w:customStyle="1" w:styleId="Style1">
    <w:name w:val="Style1"/>
    <w:uiPriority w:val="99"/>
    <w:rsid w:val="00794380"/>
    <w:pPr>
      <w:numPr>
        <w:numId w:val="3"/>
      </w:numPr>
    </w:pPr>
  </w:style>
  <w:style w:type="paragraph" w:customStyle="1" w:styleId="Normal-indented">
    <w:name w:val="Normal - indented"/>
    <w:basedOn w:val="Normal"/>
    <w:rsid w:val="00794380"/>
    <w:pPr>
      <w:spacing w:before="85" w:after="85" w:line="300" w:lineRule="exact"/>
      <w:ind w:left="709"/>
    </w:pPr>
    <w:rPr>
      <w:rFonts w:ascii="Calibri" w:eastAsia="Times New Roman" w:hAnsi="Calibri" w:cs="Times New Roman"/>
      <w:sz w:val="19"/>
      <w:szCs w:val="24"/>
      <w:lang w:eastAsia="en-GB"/>
    </w:rPr>
  </w:style>
  <w:style w:type="character" w:styleId="CommentReference">
    <w:name w:val="annotation reference"/>
    <w:basedOn w:val="DefaultParagraphFont"/>
    <w:uiPriority w:val="99"/>
    <w:semiHidden/>
    <w:unhideWhenUsed/>
    <w:rsid w:val="00F635DE"/>
    <w:rPr>
      <w:sz w:val="16"/>
      <w:szCs w:val="16"/>
    </w:rPr>
  </w:style>
  <w:style w:type="paragraph" w:styleId="CommentText">
    <w:name w:val="annotation text"/>
    <w:basedOn w:val="Normal"/>
    <w:link w:val="CommentTextChar"/>
    <w:uiPriority w:val="99"/>
    <w:semiHidden/>
    <w:unhideWhenUsed/>
    <w:rsid w:val="00F635DE"/>
    <w:pPr>
      <w:spacing w:line="240" w:lineRule="auto"/>
    </w:pPr>
    <w:rPr>
      <w:sz w:val="20"/>
      <w:szCs w:val="20"/>
    </w:rPr>
  </w:style>
  <w:style w:type="character" w:customStyle="1" w:styleId="CommentTextChar">
    <w:name w:val="Comment Text Char"/>
    <w:basedOn w:val="DefaultParagraphFont"/>
    <w:link w:val="CommentText"/>
    <w:uiPriority w:val="99"/>
    <w:semiHidden/>
    <w:rsid w:val="00F635DE"/>
    <w:rPr>
      <w:sz w:val="20"/>
      <w:szCs w:val="20"/>
    </w:rPr>
  </w:style>
  <w:style w:type="paragraph" w:styleId="CommentSubject">
    <w:name w:val="annotation subject"/>
    <w:basedOn w:val="CommentText"/>
    <w:next w:val="CommentText"/>
    <w:link w:val="CommentSubjectChar"/>
    <w:uiPriority w:val="99"/>
    <w:semiHidden/>
    <w:unhideWhenUsed/>
    <w:rsid w:val="00F635DE"/>
    <w:rPr>
      <w:b/>
      <w:bCs/>
    </w:rPr>
  </w:style>
  <w:style w:type="character" w:customStyle="1" w:styleId="CommentSubjectChar">
    <w:name w:val="Comment Subject Char"/>
    <w:basedOn w:val="CommentTextChar"/>
    <w:link w:val="CommentSubject"/>
    <w:uiPriority w:val="99"/>
    <w:semiHidden/>
    <w:rsid w:val="00F635DE"/>
    <w:rPr>
      <w:b/>
      <w:bCs/>
      <w:sz w:val="20"/>
      <w:szCs w:val="20"/>
    </w:rPr>
  </w:style>
  <w:style w:type="paragraph" w:styleId="ListParagraph">
    <w:name w:val="List Paragraph"/>
    <w:basedOn w:val="Normal"/>
    <w:uiPriority w:val="34"/>
    <w:qFormat/>
    <w:rsid w:val="006E1A33"/>
    <w:pPr>
      <w:ind w:left="720"/>
      <w:contextualSpacing/>
    </w:pPr>
  </w:style>
  <w:style w:type="paragraph" w:customStyle="1" w:styleId="3PSSubsubnumbers">
    <w:name w:val="3 PS Subsub + numbers"/>
    <w:basedOn w:val="Normal"/>
    <w:next w:val="Normal"/>
    <w:rsid w:val="00484260"/>
    <w:pPr>
      <w:numPr>
        <w:ilvl w:val="1"/>
        <w:numId w:val="13"/>
      </w:numPr>
      <w:spacing w:before="120" w:after="120" w:line="240" w:lineRule="auto"/>
      <w:ind w:right="544"/>
    </w:pPr>
    <w:rPr>
      <w:rFonts w:ascii="Arial" w:eastAsia="Times New Roman" w:hAnsi="Arial" w:cs="Times New Roman"/>
      <w:color w:val="993366"/>
      <w:sz w:val="24"/>
      <w:szCs w:val="20"/>
    </w:rPr>
  </w:style>
  <w:style w:type="paragraph" w:customStyle="1" w:styleId="StyleStyleHeading1SectionHeadingHR1e1e1BoldLinespacing1">
    <w:name w:val="Style Style Heading 1Section HeadingHR1e1e1 + BoldLine spacing:  1...."/>
    <w:basedOn w:val="Normal"/>
    <w:rsid w:val="00484260"/>
    <w:pPr>
      <w:numPr>
        <w:numId w:val="13"/>
      </w:numPr>
      <w:spacing w:before="120" w:after="120" w:line="360" w:lineRule="auto"/>
    </w:pPr>
    <w:rPr>
      <w:rFonts w:ascii="Arial" w:eastAsia="MS Mincho" w:hAnsi="Arial" w:cs="Times New Roman"/>
      <w:sz w:val="19"/>
      <w:szCs w:val="24"/>
      <w:lang w:eastAsia="ja-JP"/>
    </w:rPr>
  </w:style>
  <w:style w:type="character" w:styleId="Hyperlink">
    <w:name w:val="Hyperlink"/>
    <w:basedOn w:val="DefaultParagraphFont"/>
    <w:uiPriority w:val="99"/>
    <w:unhideWhenUsed/>
    <w:rsid w:val="00C51D3E"/>
    <w:rPr>
      <w:color w:val="0000FF"/>
      <w:u w:val="single"/>
    </w:rPr>
  </w:style>
  <w:style w:type="paragraph" w:styleId="Revision">
    <w:name w:val="Revision"/>
    <w:hidden/>
    <w:uiPriority w:val="99"/>
    <w:semiHidden/>
    <w:rsid w:val="00067C09"/>
    <w:pPr>
      <w:spacing w:after="0" w:line="240" w:lineRule="auto"/>
    </w:pPr>
  </w:style>
  <w:style w:type="character" w:customStyle="1" w:styleId="UnresolvedMention">
    <w:name w:val="Unresolved Mention"/>
    <w:basedOn w:val="DefaultParagraphFont"/>
    <w:uiPriority w:val="99"/>
    <w:semiHidden/>
    <w:unhideWhenUsed/>
    <w:rsid w:val="00AC7AF2"/>
    <w:rPr>
      <w:color w:val="605E5C"/>
      <w:shd w:val="clear" w:color="auto" w:fill="E1DFDD"/>
    </w:rPr>
  </w:style>
  <w:style w:type="paragraph" w:customStyle="1" w:styleId="BodytextRegular">
    <w:name w:val="Body text (Regular)"/>
    <w:basedOn w:val="BodyText"/>
    <w:qFormat/>
    <w:rsid w:val="00521477"/>
    <w:pPr>
      <w:spacing w:line="240" w:lineRule="auto"/>
    </w:pPr>
    <w:rPr>
      <w:sz w:val="19"/>
      <w:szCs w:val="20"/>
    </w:rPr>
  </w:style>
  <w:style w:type="paragraph" w:styleId="BodyText">
    <w:name w:val="Body Text"/>
    <w:basedOn w:val="Normal"/>
    <w:link w:val="BodyTextChar"/>
    <w:uiPriority w:val="99"/>
    <w:semiHidden/>
    <w:unhideWhenUsed/>
    <w:rsid w:val="00521477"/>
    <w:pPr>
      <w:spacing w:after="120"/>
    </w:pPr>
  </w:style>
  <w:style w:type="character" w:customStyle="1" w:styleId="BodyTextChar">
    <w:name w:val="Body Text Char"/>
    <w:basedOn w:val="DefaultParagraphFont"/>
    <w:link w:val="BodyText"/>
    <w:uiPriority w:val="99"/>
    <w:semiHidden/>
    <w:rsid w:val="0052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425">
      <w:bodyDiv w:val="1"/>
      <w:marLeft w:val="0"/>
      <w:marRight w:val="0"/>
      <w:marTop w:val="0"/>
      <w:marBottom w:val="0"/>
      <w:divBdr>
        <w:top w:val="none" w:sz="0" w:space="0" w:color="auto"/>
        <w:left w:val="none" w:sz="0" w:space="0" w:color="auto"/>
        <w:bottom w:val="none" w:sz="0" w:space="0" w:color="auto"/>
        <w:right w:val="none" w:sz="0" w:space="0" w:color="auto"/>
      </w:divBdr>
    </w:div>
    <w:div w:id="950673910">
      <w:bodyDiv w:val="1"/>
      <w:marLeft w:val="0"/>
      <w:marRight w:val="0"/>
      <w:marTop w:val="0"/>
      <w:marBottom w:val="0"/>
      <w:divBdr>
        <w:top w:val="none" w:sz="0" w:space="0" w:color="auto"/>
        <w:left w:val="none" w:sz="0" w:space="0" w:color="auto"/>
        <w:bottom w:val="none" w:sz="0" w:space="0" w:color="auto"/>
        <w:right w:val="none" w:sz="0" w:space="0" w:color="auto"/>
      </w:divBdr>
    </w:div>
    <w:div w:id="131749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RAMG">
      <a:dk1>
        <a:sysClr val="windowText" lastClr="000000"/>
      </a:dk1>
      <a:lt1>
        <a:sysClr val="window" lastClr="FFFFFF"/>
      </a:lt1>
      <a:dk2>
        <a:srgbClr val="58595B"/>
      </a:dk2>
      <a:lt2>
        <a:srgbClr val="D1D3D4"/>
      </a:lt2>
      <a:accent1>
        <a:srgbClr val="A39161"/>
      </a:accent1>
      <a:accent2>
        <a:srgbClr val="477F80"/>
      </a:accent2>
      <a:accent3>
        <a:srgbClr val="8E4453"/>
      </a:accent3>
      <a:accent4>
        <a:srgbClr val="5A447A"/>
      </a:accent4>
      <a:accent5>
        <a:srgbClr val="69923A"/>
      </a:accent5>
      <a:accent6>
        <a:srgbClr val="00759A"/>
      </a:accent6>
      <a:hlink>
        <a:srgbClr val="FEE497"/>
      </a:hlink>
      <a:folHlink>
        <a:srgbClr val="927A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2B748-3160-422C-B053-040F13D8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2861</Words>
  <Characters>16311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Punter Southall Group</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Shortland</dc:creator>
  <cp:lastModifiedBy>Rob Chandler</cp:lastModifiedBy>
  <cp:revision>2</cp:revision>
  <dcterms:created xsi:type="dcterms:W3CDTF">2025-10-10T12:56:00Z</dcterms:created>
  <dcterms:modified xsi:type="dcterms:W3CDTF">2025-10-10T12:56:00Z</dcterms:modified>
</cp:coreProperties>
</file>